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BE8E4">
      <w:pPr>
        <w:jc w:val="center"/>
        <w:rPr>
          <w:rFonts w:hint="default" w:ascii="Times New Roman" w:hAnsi="Times New Roman" w:eastAsia="仿宋_GB2312" w:cs="Times New Roman"/>
          <w:color w:val="auto"/>
          <w:sz w:val="36"/>
          <w:szCs w:val="36"/>
          <w:highlight w:val="none"/>
          <w:lang w:val="en-US" w:eastAsia="zh-CN"/>
        </w:rPr>
      </w:pPr>
      <w:r>
        <w:rPr>
          <w:rFonts w:hint="eastAsia" w:eastAsia="仿宋_GB2312" w:cs="Times New Roman"/>
          <w:color w:val="auto"/>
          <w:sz w:val="36"/>
          <w:szCs w:val="36"/>
          <w:highlight w:val="none"/>
          <w:lang w:val="en-US" w:eastAsia="zh-CN"/>
        </w:rPr>
        <w:t xml:space="preserve">   </w:t>
      </w:r>
    </w:p>
    <w:p w14:paraId="7F88A006">
      <w:pPr>
        <w:rPr>
          <w:rFonts w:hint="eastAsia" w:ascii="Times New Roman" w:hAnsi="Times New Roman" w:eastAsia="仿宋_GB2312" w:cs="Times New Roman"/>
          <w:color w:val="auto"/>
          <w:sz w:val="36"/>
          <w:szCs w:val="36"/>
          <w:highlight w:val="none"/>
          <w:lang w:eastAsia="zh-CN"/>
        </w:rPr>
      </w:pPr>
      <w:r>
        <w:rPr>
          <w:rFonts w:hint="eastAsia" w:ascii="Times New Roman" w:hAnsi="Times New Roman" w:eastAsia="仿宋_GB2312" w:cs="Times New Roman"/>
          <w:color w:val="auto"/>
          <w:sz w:val="36"/>
          <w:szCs w:val="36"/>
          <w:highlight w:val="none"/>
          <w:lang w:eastAsia="zh-CN"/>
        </w:rPr>
        <w:drawing>
          <wp:inline distT="0" distB="0" distL="114300" distR="114300">
            <wp:extent cx="5760720" cy="8160385"/>
            <wp:effectExtent l="0" t="0" r="11430" b="12065"/>
            <wp:docPr id="3" name="图片 3" descr="扫描全能王 2025-06-18 12.06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6-18 12.06_02(1)"/>
                    <pic:cNvPicPr>
                      <a:picLocks noChangeAspect="1"/>
                    </pic:cNvPicPr>
                  </pic:nvPicPr>
                  <pic:blipFill>
                    <a:blip r:embed="rId9"/>
                    <a:stretch>
                      <a:fillRect/>
                    </a:stretch>
                  </pic:blipFill>
                  <pic:spPr>
                    <a:xfrm>
                      <a:off x="0" y="0"/>
                      <a:ext cx="5760720" cy="8160385"/>
                    </a:xfrm>
                    <a:prstGeom prst="rect">
                      <a:avLst/>
                    </a:prstGeom>
                  </pic:spPr>
                </pic:pic>
              </a:graphicData>
            </a:graphic>
          </wp:inline>
        </w:drawing>
      </w:r>
    </w:p>
    <w:p w14:paraId="79AF0F07">
      <w:pPr>
        <w:tabs>
          <w:tab w:val="right" w:pos="8032"/>
        </w:tabs>
        <w:adjustRightInd w:val="0"/>
        <w:snapToGrid w:val="0"/>
        <w:spacing w:line="288" w:lineRule="auto"/>
        <w:rPr>
          <w:rFonts w:hint="eastAsia" w:ascii="Times New Roman" w:hAnsi="Times New Roman" w:eastAsia="仿宋_GB2312" w:cs="Times New Roman"/>
          <w:color w:val="auto"/>
          <w:sz w:val="36"/>
          <w:szCs w:val="36"/>
          <w:highlight w:val="none"/>
          <w:lang w:eastAsia="zh-CN"/>
        </w:rPr>
        <w:sectPr>
          <w:footerReference r:id="rId3" w:type="default"/>
          <w:footerReference r:id="rId4" w:type="even"/>
          <w:pgSz w:w="11906" w:h="16838"/>
          <w:pgMar w:top="1701" w:right="1417" w:bottom="1701" w:left="1417" w:header="851" w:footer="1077" w:gutter="0"/>
          <w:pgBorders>
            <w:top w:val="none" w:sz="0" w:space="0"/>
            <w:left w:val="none" w:sz="0" w:space="0"/>
            <w:bottom w:val="none" w:sz="0" w:space="0"/>
            <w:right w:val="none" w:sz="0" w:space="0"/>
          </w:pgBorders>
          <w:pgNumType w:start="3"/>
          <w:cols w:space="720" w:num="1"/>
          <w:docGrid w:linePitch="312" w:charSpace="0"/>
        </w:sectPr>
      </w:pPr>
    </w:p>
    <w:p w14:paraId="1C5A2A77">
      <w:pPr>
        <w:pStyle w:val="2"/>
        <w:rPr>
          <w:rFonts w:hint="eastAsia"/>
          <w:lang w:eastAsia="zh-CN"/>
        </w:rPr>
        <w:sectPr>
          <w:pgSz w:w="11906" w:h="16838"/>
          <w:pgMar w:top="1701" w:right="1417" w:bottom="1701" w:left="1417"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lang w:eastAsia="zh-CN"/>
        </w:rPr>
        <w:drawing>
          <wp:inline distT="0" distB="0" distL="114300" distR="114300">
            <wp:extent cx="5754370" cy="8058785"/>
            <wp:effectExtent l="0" t="0" r="17780" b="18415"/>
            <wp:docPr id="8" name="图片 8" descr="扫描全能王 2025-06-18 12.06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06-18 12.06_01(1)"/>
                    <pic:cNvPicPr>
                      <a:picLocks noChangeAspect="1"/>
                    </pic:cNvPicPr>
                  </pic:nvPicPr>
                  <pic:blipFill>
                    <a:blip r:embed="rId10"/>
                    <a:stretch>
                      <a:fillRect/>
                    </a:stretch>
                  </pic:blipFill>
                  <pic:spPr>
                    <a:xfrm>
                      <a:off x="0" y="0"/>
                      <a:ext cx="5754370" cy="8058785"/>
                    </a:xfrm>
                    <a:prstGeom prst="rect">
                      <a:avLst/>
                    </a:prstGeom>
                  </pic:spPr>
                </pic:pic>
              </a:graphicData>
            </a:graphic>
          </wp:inline>
        </w:drawing>
      </w:r>
    </w:p>
    <w:p w14:paraId="29043B5F">
      <w:pPr>
        <w:pStyle w:val="24"/>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720"/>
        <w:gridCol w:w="1336"/>
        <w:gridCol w:w="2073"/>
        <w:gridCol w:w="1904"/>
        <w:gridCol w:w="3071"/>
      </w:tblGrid>
      <w:tr w14:paraId="09F660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8" w:hRule="atLeast"/>
          <w:jc w:val="center"/>
        </w:trPr>
        <w:tc>
          <w:tcPr>
            <w:tcW w:w="2118" w:type="dxa"/>
            <w:gridSpan w:val="2"/>
            <w:tcBorders>
              <w:tl2br w:val="nil"/>
              <w:tr2bl w:val="nil"/>
            </w:tcBorders>
            <w:noWrap w:val="0"/>
            <w:tcMar>
              <w:top w:w="16" w:type="dxa"/>
              <w:left w:w="16" w:type="dxa"/>
              <w:right w:w="16" w:type="dxa"/>
            </w:tcMar>
            <w:vAlign w:val="center"/>
          </w:tcPr>
          <w:p w14:paraId="5B2FC53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752" w:type="dxa"/>
            <w:gridSpan w:val="3"/>
            <w:tcBorders>
              <w:tl2br w:val="nil"/>
              <w:tr2bl w:val="nil"/>
            </w:tcBorders>
            <w:noWrap w:val="0"/>
            <w:vAlign w:val="center"/>
          </w:tcPr>
          <w:p w14:paraId="72E76127">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可克达拉市农康废品回收中心报废农机回收项目</w:t>
            </w:r>
          </w:p>
        </w:tc>
      </w:tr>
      <w:tr w14:paraId="4DBE58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26" w:hRule="atLeast"/>
          <w:jc w:val="center"/>
        </w:trPr>
        <w:tc>
          <w:tcPr>
            <w:tcW w:w="2118" w:type="dxa"/>
            <w:gridSpan w:val="2"/>
            <w:tcBorders>
              <w:tl2br w:val="nil"/>
              <w:tr2bl w:val="nil"/>
            </w:tcBorders>
            <w:noWrap w:val="0"/>
            <w:tcMar>
              <w:top w:w="16" w:type="dxa"/>
              <w:left w:w="16" w:type="dxa"/>
              <w:right w:w="16" w:type="dxa"/>
            </w:tcMar>
            <w:vAlign w:val="center"/>
          </w:tcPr>
          <w:p w14:paraId="6D86898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752" w:type="dxa"/>
            <w:gridSpan w:val="3"/>
            <w:tcBorders>
              <w:tl2br w:val="nil"/>
              <w:tr2bl w:val="nil"/>
            </w:tcBorders>
            <w:noWrap w:val="0"/>
            <w:vAlign w:val="center"/>
          </w:tcPr>
          <w:p w14:paraId="6BFF9539">
            <w:pPr>
              <w:adjustRightInd w:val="0"/>
              <w:snapToGrid w:val="0"/>
              <w:jc w:val="center"/>
              <w:rPr>
                <w:rFonts w:hint="default" w:ascii="Times New Roman" w:hAnsi="Times New Roman" w:eastAsia="宋体" w:cs="Times New Roman"/>
                <w:color w:val="FF0000"/>
                <w:sz w:val="24"/>
                <w:szCs w:val="24"/>
                <w:highlight w:val="none"/>
                <w:lang w:val="en-US" w:eastAsia="zh-CN"/>
              </w:rPr>
            </w:pPr>
            <w:r>
              <w:rPr>
                <w:rFonts w:hint="eastAsia" w:cs="Times New Roman"/>
                <w:color w:val="auto"/>
                <w:sz w:val="24"/>
                <w:szCs w:val="24"/>
                <w:highlight w:val="none"/>
                <w:lang w:val="en-US" w:eastAsia="zh-CN"/>
              </w:rPr>
              <w:t>2206-660407-04-01-250212</w:t>
            </w:r>
          </w:p>
        </w:tc>
      </w:tr>
      <w:tr w14:paraId="0575FE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2118" w:type="dxa"/>
            <w:gridSpan w:val="2"/>
            <w:tcBorders>
              <w:tl2br w:val="nil"/>
              <w:tr2bl w:val="nil"/>
            </w:tcBorders>
            <w:noWrap w:val="0"/>
            <w:tcMar>
              <w:top w:w="16" w:type="dxa"/>
              <w:left w:w="16" w:type="dxa"/>
              <w:right w:w="16" w:type="dxa"/>
            </w:tcMar>
            <w:vAlign w:val="center"/>
          </w:tcPr>
          <w:p w14:paraId="0B8B7650">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073" w:type="dxa"/>
            <w:tcBorders>
              <w:tl2br w:val="nil"/>
              <w:tr2bl w:val="nil"/>
            </w:tcBorders>
            <w:noWrap w:val="0"/>
            <w:vAlign w:val="center"/>
          </w:tcPr>
          <w:p w14:paraId="155D7DF0">
            <w:pPr>
              <w:adjustRightInd w:val="0"/>
              <w:snapToGrid w:val="0"/>
              <w:jc w:val="center"/>
              <w:rPr>
                <w:rFonts w:hint="default" w:ascii="Times New Roman" w:hAnsi="Times New Roman" w:eastAsia="宋体" w:cs="Times New Roman"/>
                <w:color w:val="FF0000"/>
                <w:sz w:val="24"/>
                <w:szCs w:val="24"/>
                <w:highlight w:val="none"/>
                <w:lang w:val="en-US" w:eastAsia="zh-CN"/>
              </w:rPr>
            </w:pPr>
            <w:r>
              <w:rPr>
                <w:rFonts w:hint="eastAsia" w:cs="Times New Roman"/>
                <w:color w:val="auto"/>
                <w:sz w:val="24"/>
                <w:szCs w:val="24"/>
                <w:highlight w:val="none"/>
                <w:lang w:val="en-US" w:eastAsia="zh-CN"/>
              </w:rPr>
              <w:t>王浩宇</w:t>
            </w:r>
          </w:p>
        </w:tc>
        <w:tc>
          <w:tcPr>
            <w:tcW w:w="1854" w:type="dxa"/>
            <w:tcBorders>
              <w:tl2br w:val="nil"/>
              <w:tr2bl w:val="nil"/>
            </w:tcBorders>
            <w:noWrap w:val="0"/>
            <w:vAlign w:val="center"/>
          </w:tcPr>
          <w:p w14:paraId="3B6248C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825" w:type="dxa"/>
            <w:tcBorders>
              <w:tl2br w:val="nil"/>
              <w:tr2bl w:val="nil"/>
            </w:tcBorders>
            <w:noWrap w:val="0"/>
            <w:vAlign w:val="center"/>
          </w:tcPr>
          <w:p w14:paraId="2821C22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19190388088</w:t>
            </w:r>
          </w:p>
        </w:tc>
      </w:tr>
      <w:tr w14:paraId="4E7F89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71" w:hRule="atLeast"/>
          <w:jc w:val="center"/>
        </w:trPr>
        <w:tc>
          <w:tcPr>
            <w:tcW w:w="2118" w:type="dxa"/>
            <w:gridSpan w:val="2"/>
            <w:tcBorders>
              <w:tl2br w:val="nil"/>
              <w:tr2bl w:val="nil"/>
            </w:tcBorders>
            <w:noWrap w:val="0"/>
            <w:tcMar>
              <w:top w:w="16" w:type="dxa"/>
              <w:left w:w="16" w:type="dxa"/>
              <w:right w:w="16" w:type="dxa"/>
            </w:tcMar>
            <w:vAlign w:val="center"/>
          </w:tcPr>
          <w:p w14:paraId="02763A53">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752" w:type="dxa"/>
            <w:gridSpan w:val="3"/>
            <w:tcBorders>
              <w:tl2br w:val="nil"/>
              <w:tr2bl w:val="nil"/>
            </w:tcBorders>
            <w:noWrap w:val="0"/>
            <w:vAlign w:val="center"/>
          </w:tcPr>
          <w:p w14:paraId="0A615610">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新疆生产建设兵团第四师可克达拉市</w:t>
            </w:r>
            <w:r>
              <w:rPr>
                <w:rFonts w:hint="eastAsia" w:cs="Times New Roman"/>
                <w:color w:val="auto"/>
                <w:sz w:val="24"/>
                <w:szCs w:val="24"/>
                <w:highlight w:val="none"/>
                <w:lang w:val="en-US" w:eastAsia="zh-CN"/>
              </w:rPr>
              <w:t>六十八</w:t>
            </w:r>
            <w:r>
              <w:rPr>
                <w:rFonts w:hint="default" w:ascii="Times New Roman" w:hAnsi="Times New Roman" w:eastAsia="宋体" w:cs="Times New Roman"/>
                <w:color w:val="auto"/>
                <w:sz w:val="24"/>
                <w:szCs w:val="24"/>
                <w:highlight w:val="none"/>
                <w:lang w:val="en-US" w:eastAsia="zh-CN"/>
              </w:rPr>
              <w:t>团</w:t>
            </w:r>
            <w:r>
              <w:rPr>
                <w:rFonts w:hint="eastAsia" w:cs="Times New Roman"/>
                <w:color w:val="auto"/>
                <w:sz w:val="24"/>
                <w:szCs w:val="24"/>
                <w:highlight w:val="none"/>
                <w:lang w:val="en-US" w:eastAsia="zh-CN"/>
              </w:rPr>
              <w:t>五</w:t>
            </w:r>
            <w:r>
              <w:rPr>
                <w:rFonts w:hint="default" w:ascii="Times New Roman" w:hAnsi="Times New Roman" w:eastAsia="宋体" w:cs="Times New Roman"/>
                <w:color w:val="auto"/>
                <w:sz w:val="24"/>
                <w:szCs w:val="24"/>
                <w:highlight w:val="none"/>
                <w:lang w:val="en-US" w:eastAsia="zh-CN"/>
              </w:rPr>
              <w:t>连</w:t>
            </w:r>
          </w:p>
        </w:tc>
      </w:tr>
      <w:tr w14:paraId="4386E8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75" w:hRule="atLeast"/>
          <w:jc w:val="center"/>
        </w:trPr>
        <w:tc>
          <w:tcPr>
            <w:tcW w:w="2118" w:type="dxa"/>
            <w:gridSpan w:val="2"/>
            <w:tcBorders>
              <w:tl2br w:val="nil"/>
              <w:tr2bl w:val="nil"/>
            </w:tcBorders>
            <w:noWrap w:val="0"/>
            <w:tcMar>
              <w:top w:w="16" w:type="dxa"/>
              <w:left w:w="16" w:type="dxa"/>
              <w:right w:w="16" w:type="dxa"/>
            </w:tcMar>
            <w:vAlign w:val="center"/>
          </w:tcPr>
          <w:p w14:paraId="6786ECD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752" w:type="dxa"/>
            <w:gridSpan w:val="3"/>
            <w:tcBorders>
              <w:tl2br w:val="nil"/>
              <w:tr2bl w:val="nil"/>
            </w:tcBorders>
            <w:noWrap w:val="0"/>
            <w:vAlign w:val="center"/>
          </w:tcPr>
          <w:p w14:paraId="2FB06F8F">
            <w:pPr>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E</w:t>
            </w:r>
            <w:r>
              <w:rPr>
                <w:rFonts w:hint="default" w:ascii="Times New Roman" w:hAnsi="Times New Roman" w:eastAsia="宋体" w:cs="Times New Roman"/>
                <w:color w:val="auto"/>
                <w:sz w:val="24"/>
                <w:szCs w:val="24"/>
                <w:highlight w:val="none"/>
              </w:rPr>
              <w:t>80°56'02.63</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N</w:t>
            </w:r>
            <w:r>
              <w:rPr>
                <w:rFonts w:hint="default" w:ascii="Times New Roman" w:hAnsi="Times New Roman" w:eastAsia="宋体" w:cs="Times New Roman"/>
                <w:color w:val="auto"/>
                <w:sz w:val="24"/>
                <w:szCs w:val="24"/>
                <w:highlight w:val="none"/>
              </w:rPr>
              <w:t>43°52'14.848"</w:t>
            </w:r>
          </w:p>
        </w:tc>
      </w:tr>
      <w:tr w14:paraId="43D90D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2118" w:type="dxa"/>
            <w:gridSpan w:val="2"/>
            <w:tcBorders>
              <w:tl2br w:val="nil"/>
              <w:tr2bl w:val="nil"/>
            </w:tcBorders>
            <w:noWrap w:val="0"/>
            <w:tcMar>
              <w:top w:w="16" w:type="dxa"/>
              <w:left w:w="16" w:type="dxa"/>
              <w:right w:w="16" w:type="dxa"/>
            </w:tcMar>
            <w:vAlign w:val="center"/>
          </w:tcPr>
          <w:p w14:paraId="0550EE7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14:paraId="75FFA4B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073" w:type="dxa"/>
            <w:tcBorders>
              <w:tl2br w:val="nil"/>
              <w:tr2bl w:val="nil"/>
            </w:tcBorders>
            <w:noWrap w:val="0"/>
            <w:vAlign w:val="center"/>
          </w:tcPr>
          <w:p w14:paraId="5C2A9302">
            <w:pPr>
              <w:adjustRightInd w:val="0"/>
              <w:snapToGrid w:val="0"/>
              <w:jc w:val="center"/>
              <w:rPr>
                <w:rFonts w:hint="default"/>
                <w:color w:val="auto"/>
                <w:sz w:val="24"/>
                <w:highlight w:val="none"/>
                <w:lang w:val="en-US" w:eastAsia="zh-CN"/>
              </w:rPr>
            </w:pPr>
            <w:r>
              <w:rPr>
                <w:rFonts w:hint="eastAsia"/>
                <w:color w:val="auto"/>
                <w:sz w:val="24"/>
                <w:highlight w:val="none"/>
                <w:lang w:val="en-US" w:eastAsia="zh-CN"/>
              </w:rPr>
              <w:t>C4210金属废料和碎屑加工处理</w:t>
            </w:r>
          </w:p>
        </w:tc>
        <w:tc>
          <w:tcPr>
            <w:tcW w:w="1854" w:type="dxa"/>
            <w:tcBorders>
              <w:tl2br w:val="nil"/>
              <w:tr2bl w:val="nil"/>
            </w:tcBorders>
            <w:noWrap w:val="0"/>
            <w:vAlign w:val="center"/>
          </w:tcPr>
          <w:p w14:paraId="08B6DA2C">
            <w:pPr>
              <w:adjustRightInd w:val="0"/>
              <w:snapToGrid w:val="0"/>
              <w:jc w:val="center"/>
              <w:rPr>
                <w:rFonts w:hint="default" w:ascii="Times New Roman" w:hAnsi="Times New Roman" w:eastAsia="宋体" w:cs="Times New Roman"/>
                <w:color w:val="auto"/>
                <w:sz w:val="24"/>
                <w:highlight w:val="none"/>
                <w:lang w:val="en-US" w:eastAsia="zh-CN"/>
              </w:rPr>
            </w:pPr>
            <w:bookmarkStart w:id="0" w:name="_Hlk49843745"/>
            <w:r>
              <w:rPr>
                <w:rFonts w:hint="default" w:ascii="Times New Roman" w:hAnsi="Times New Roman" w:eastAsia="宋体" w:cs="Times New Roman"/>
                <w:color w:val="auto"/>
                <w:sz w:val="24"/>
                <w:highlight w:val="none"/>
                <w:lang w:val="en-US" w:eastAsia="zh-CN"/>
              </w:rPr>
              <w:t>建设项目</w:t>
            </w:r>
          </w:p>
          <w:p w14:paraId="0F752F90">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行业类别</w:t>
            </w:r>
            <w:bookmarkEnd w:id="0"/>
          </w:p>
        </w:tc>
        <w:tc>
          <w:tcPr>
            <w:tcW w:w="2825" w:type="dxa"/>
            <w:tcBorders>
              <w:tl2br w:val="nil"/>
              <w:tr2bl w:val="nil"/>
            </w:tcBorders>
            <w:noWrap w:val="0"/>
            <w:vAlign w:val="center"/>
          </w:tcPr>
          <w:p w14:paraId="5A388772">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三十九、废弃资源综合利用业42</w:t>
            </w:r>
          </w:p>
          <w:p w14:paraId="4B91510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85.金属废料和碎屑加工处理421</w:t>
            </w:r>
          </w:p>
        </w:tc>
      </w:tr>
      <w:tr w14:paraId="4F1299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1452" w:hRule="atLeast"/>
          <w:jc w:val="center"/>
        </w:trPr>
        <w:tc>
          <w:tcPr>
            <w:tcW w:w="2118" w:type="dxa"/>
            <w:gridSpan w:val="2"/>
            <w:tcBorders>
              <w:tl2br w:val="nil"/>
              <w:tr2bl w:val="nil"/>
            </w:tcBorders>
            <w:noWrap w:val="0"/>
            <w:tcMar>
              <w:top w:w="16" w:type="dxa"/>
              <w:left w:w="16" w:type="dxa"/>
              <w:right w:w="16" w:type="dxa"/>
            </w:tcMar>
            <w:vAlign w:val="center"/>
          </w:tcPr>
          <w:p w14:paraId="44C6C4E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073" w:type="dxa"/>
            <w:tcBorders>
              <w:tl2br w:val="nil"/>
              <w:tr2bl w:val="nil"/>
            </w:tcBorders>
            <w:noWrap w:val="0"/>
            <w:vAlign w:val="center"/>
          </w:tcPr>
          <w:p w14:paraId="65D3A669">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18FFB8FB">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14:paraId="129D993C">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□扩建</w:t>
            </w:r>
          </w:p>
          <w:p w14:paraId="6B8044E5">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□技术改造</w:t>
            </w:r>
          </w:p>
        </w:tc>
        <w:tc>
          <w:tcPr>
            <w:tcW w:w="1854" w:type="dxa"/>
            <w:tcBorders>
              <w:tl2br w:val="nil"/>
              <w:tr2bl w:val="nil"/>
            </w:tcBorders>
            <w:noWrap w:val="0"/>
            <w:vAlign w:val="center"/>
          </w:tcPr>
          <w:p w14:paraId="4C8D24ED">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24137F9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825" w:type="dxa"/>
            <w:tcBorders>
              <w:tl2br w:val="nil"/>
              <w:tr2bl w:val="nil"/>
            </w:tcBorders>
            <w:noWrap w:val="0"/>
            <w:vAlign w:val="center"/>
          </w:tcPr>
          <w:p w14:paraId="701FF865">
            <w:pP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14:paraId="62F3D32F">
            <w:pPr>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不予批准后再次申报项目</w:t>
            </w:r>
          </w:p>
          <w:p w14:paraId="29E9F83E">
            <w:pPr>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 xml:space="preserve">超五年重新审核项目     </w:t>
            </w:r>
          </w:p>
          <w:p w14:paraId="74FC6EC3">
            <w:pPr>
              <w:jc w:val="left"/>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重大变动重新报批项目</w:t>
            </w:r>
          </w:p>
        </w:tc>
      </w:tr>
      <w:tr w14:paraId="4AAB9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36" w:hRule="atLeast"/>
          <w:jc w:val="center"/>
        </w:trPr>
        <w:tc>
          <w:tcPr>
            <w:tcW w:w="2118" w:type="dxa"/>
            <w:gridSpan w:val="2"/>
            <w:tcBorders>
              <w:tl2br w:val="nil"/>
              <w:tr2bl w:val="nil"/>
            </w:tcBorders>
            <w:noWrap w:val="0"/>
            <w:tcMar>
              <w:top w:w="16" w:type="dxa"/>
              <w:left w:w="16" w:type="dxa"/>
              <w:right w:w="16" w:type="dxa"/>
            </w:tcMar>
            <w:vAlign w:val="center"/>
          </w:tcPr>
          <w:p w14:paraId="263BBFC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2314894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073" w:type="dxa"/>
            <w:tcBorders>
              <w:tl2br w:val="nil"/>
              <w:tr2bl w:val="nil"/>
            </w:tcBorders>
            <w:noWrap w:val="0"/>
            <w:vAlign w:val="center"/>
          </w:tcPr>
          <w:p w14:paraId="1933C7C8">
            <w:pPr>
              <w:adjustRightInd w:val="0"/>
              <w:snapToGrid w:val="0"/>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新疆生产建设兵团第四师</w:t>
            </w:r>
            <w:r>
              <w:rPr>
                <w:rFonts w:hint="eastAsia" w:cs="Times New Roman"/>
                <w:color w:val="auto"/>
                <w:sz w:val="24"/>
                <w:szCs w:val="24"/>
                <w:highlight w:val="none"/>
                <w:lang w:val="en-US" w:eastAsia="zh-CN"/>
              </w:rPr>
              <w:t>六十八</w:t>
            </w:r>
            <w:r>
              <w:rPr>
                <w:rFonts w:hint="default" w:ascii="Times New Roman" w:hAnsi="Times New Roman" w:eastAsia="宋体" w:cs="Times New Roman"/>
                <w:color w:val="auto"/>
                <w:sz w:val="24"/>
                <w:szCs w:val="24"/>
                <w:highlight w:val="none"/>
                <w:lang w:val="en-US" w:eastAsia="zh-CN"/>
              </w:rPr>
              <w:t>团</w:t>
            </w:r>
            <w:r>
              <w:rPr>
                <w:rFonts w:hint="eastAsia" w:cs="Times New Roman"/>
                <w:color w:val="auto"/>
                <w:sz w:val="24"/>
                <w:szCs w:val="24"/>
                <w:highlight w:val="none"/>
                <w:lang w:val="en-US" w:eastAsia="zh-CN"/>
              </w:rPr>
              <w:t>经济发展办公室</w:t>
            </w:r>
          </w:p>
        </w:tc>
        <w:tc>
          <w:tcPr>
            <w:tcW w:w="1854" w:type="dxa"/>
            <w:tcBorders>
              <w:tl2br w:val="nil"/>
              <w:tr2bl w:val="nil"/>
            </w:tcBorders>
            <w:noWrap w:val="0"/>
            <w:vAlign w:val="center"/>
          </w:tcPr>
          <w:p w14:paraId="0A540914">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14:paraId="3C5D0635">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备案）文号（选填）</w:t>
            </w:r>
          </w:p>
        </w:tc>
        <w:tc>
          <w:tcPr>
            <w:tcW w:w="2825" w:type="dxa"/>
            <w:tcBorders>
              <w:tl2br w:val="nil"/>
              <w:tr2bl w:val="nil"/>
            </w:tcBorders>
            <w:noWrap w:val="0"/>
            <w:vAlign w:val="center"/>
          </w:tcPr>
          <w:p w14:paraId="1E8C161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68团</w:t>
            </w:r>
            <w:r>
              <w:rPr>
                <w:rFonts w:hint="default" w:ascii="Times New Roman" w:hAnsi="Times New Roman" w:eastAsia="宋体" w:cs="Times New Roman"/>
                <w:color w:val="auto"/>
                <w:sz w:val="24"/>
                <w:szCs w:val="24"/>
                <w:highlight w:val="none"/>
                <w:lang w:val="en-US" w:eastAsia="zh-CN"/>
              </w:rPr>
              <w:t>经发办备〔202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号</w:t>
            </w:r>
          </w:p>
        </w:tc>
      </w:tr>
      <w:tr w14:paraId="7E9EE2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2118" w:type="dxa"/>
            <w:gridSpan w:val="2"/>
            <w:tcBorders>
              <w:tl2br w:val="nil"/>
              <w:tr2bl w:val="nil"/>
            </w:tcBorders>
            <w:noWrap w:val="0"/>
            <w:tcMar>
              <w:top w:w="16" w:type="dxa"/>
              <w:left w:w="16" w:type="dxa"/>
              <w:right w:w="16" w:type="dxa"/>
            </w:tcMar>
            <w:vAlign w:val="center"/>
          </w:tcPr>
          <w:p w14:paraId="0F7CF7AF">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073" w:type="dxa"/>
            <w:tcBorders>
              <w:tl2br w:val="nil"/>
              <w:tr2bl w:val="nil"/>
            </w:tcBorders>
            <w:noWrap w:val="0"/>
            <w:vAlign w:val="center"/>
          </w:tcPr>
          <w:p w14:paraId="7B33AC63">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1000</w:t>
            </w:r>
          </w:p>
        </w:tc>
        <w:tc>
          <w:tcPr>
            <w:tcW w:w="1854" w:type="dxa"/>
            <w:tcBorders>
              <w:tl2br w:val="nil"/>
              <w:tr2bl w:val="nil"/>
            </w:tcBorders>
            <w:noWrap w:val="0"/>
            <w:tcMar>
              <w:top w:w="16" w:type="dxa"/>
              <w:left w:w="16" w:type="dxa"/>
              <w:right w:w="16" w:type="dxa"/>
            </w:tcMar>
            <w:vAlign w:val="center"/>
          </w:tcPr>
          <w:p w14:paraId="2FB714DA">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825" w:type="dxa"/>
            <w:tcBorders>
              <w:tl2br w:val="nil"/>
              <w:tr2bl w:val="nil"/>
            </w:tcBorders>
            <w:noWrap w:val="0"/>
            <w:vAlign w:val="center"/>
          </w:tcPr>
          <w:p w14:paraId="61A8F1AC">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75</w:t>
            </w:r>
          </w:p>
        </w:tc>
      </w:tr>
      <w:tr w14:paraId="33F949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19" w:hRule="atLeast"/>
          <w:jc w:val="center"/>
        </w:trPr>
        <w:tc>
          <w:tcPr>
            <w:tcW w:w="2118" w:type="dxa"/>
            <w:gridSpan w:val="2"/>
            <w:tcBorders>
              <w:tl2br w:val="nil"/>
              <w:tr2bl w:val="nil"/>
            </w:tcBorders>
            <w:noWrap w:val="0"/>
            <w:tcMar>
              <w:top w:w="16" w:type="dxa"/>
              <w:left w:w="16" w:type="dxa"/>
              <w:right w:w="16" w:type="dxa"/>
            </w:tcMar>
            <w:vAlign w:val="center"/>
          </w:tcPr>
          <w:p w14:paraId="454CDA51">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073" w:type="dxa"/>
            <w:tcBorders>
              <w:tl2br w:val="nil"/>
              <w:tr2bl w:val="nil"/>
            </w:tcBorders>
            <w:noWrap w:val="0"/>
            <w:vAlign w:val="center"/>
          </w:tcPr>
          <w:p w14:paraId="0BCEEFBF">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7.7</w:t>
            </w:r>
          </w:p>
        </w:tc>
        <w:tc>
          <w:tcPr>
            <w:tcW w:w="1854" w:type="dxa"/>
            <w:tcBorders>
              <w:tl2br w:val="nil"/>
              <w:tr2bl w:val="nil"/>
            </w:tcBorders>
            <w:noWrap w:val="0"/>
            <w:tcMar>
              <w:top w:w="16" w:type="dxa"/>
              <w:left w:w="16" w:type="dxa"/>
              <w:right w:w="16" w:type="dxa"/>
            </w:tcMar>
            <w:vAlign w:val="center"/>
          </w:tcPr>
          <w:p w14:paraId="7DC5171D">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施工工期</w:t>
            </w:r>
          </w:p>
        </w:tc>
        <w:tc>
          <w:tcPr>
            <w:tcW w:w="2825" w:type="dxa"/>
            <w:tcBorders>
              <w:tl2br w:val="nil"/>
              <w:tr2bl w:val="nil"/>
            </w:tcBorders>
            <w:noWrap w:val="0"/>
            <w:vAlign w:val="center"/>
          </w:tcPr>
          <w:p w14:paraId="181F45D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个月</w:t>
            </w:r>
          </w:p>
        </w:tc>
      </w:tr>
      <w:tr w14:paraId="2B5559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118" w:type="dxa"/>
            <w:gridSpan w:val="2"/>
            <w:tcBorders>
              <w:tl2br w:val="nil"/>
              <w:tr2bl w:val="nil"/>
            </w:tcBorders>
            <w:noWrap w:val="0"/>
            <w:tcMar>
              <w:top w:w="16" w:type="dxa"/>
              <w:left w:w="16" w:type="dxa"/>
              <w:right w:w="16" w:type="dxa"/>
            </w:tcMar>
            <w:vAlign w:val="center"/>
          </w:tcPr>
          <w:p w14:paraId="5DFD4F9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073" w:type="dxa"/>
            <w:tcBorders>
              <w:tl2br w:val="nil"/>
              <w:tr2bl w:val="nil"/>
            </w:tcBorders>
            <w:noWrap w:val="0"/>
            <w:vAlign w:val="center"/>
          </w:tcPr>
          <w:p w14:paraId="38F76D02">
            <w:pP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EA70E3C">
            <w:pPr>
              <w:adjustRightInd w:val="0"/>
              <w:snapToGrid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lang w:val="en-US" w:eastAsia="zh-CN"/>
              </w:rPr>
              <w:t xml:space="preserve">                   </w:t>
            </w:r>
          </w:p>
        </w:tc>
        <w:tc>
          <w:tcPr>
            <w:tcW w:w="1854" w:type="dxa"/>
            <w:tcBorders>
              <w:tl2br w:val="nil"/>
              <w:tr2bl w:val="nil"/>
            </w:tcBorders>
            <w:noWrap w:val="0"/>
            <w:vAlign w:val="center"/>
          </w:tcPr>
          <w:p w14:paraId="47FDB7A6">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用地（用海）面积（m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825" w:type="dxa"/>
            <w:tcBorders>
              <w:tl2br w:val="nil"/>
              <w:tr2bl w:val="nil"/>
            </w:tcBorders>
            <w:noWrap w:val="0"/>
            <w:vAlign w:val="center"/>
          </w:tcPr>
          <w:p w14:paraId="5E90710A">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7395.11</w:t>
            </w:r>
          </w:p>
        </w:tc>
      </w:tr>
      <w:tr w14:paraId="7EFD9E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118" w:type="dxa"/>
            <w:gridSpan w:val="2"/>
            <w:tcBorders>
              <w:tl2br w:val="nil"/>
              <w:tr2bl w:val="nil"/>
            </w:tcBorders>
            <w:noWrap w:val="0"/>
            <w:vAlign w:val="center"/>
          </w:tcPr>
          <w:p w14:paraId="33B92026">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w:t>
            </w:r>
          </w:p>
          <w:p w14:paraId="17D23570">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设置情况</w:t>
            </w:r>
          </w:p>
        </w:tc>
        <w:tc>
          <w:tcPr>
            <w:tcW w:w="6752" w:type="dxa"/>
            <w:gridSpan w:val="3"/>
            <w:tcBorders>
              <w:tl2br w:val="nil"/>
              <w:tr2bl w:val="nil"/>
            </w:tcBorders>
            <w:noWrap w:val="0"/>
            <w:vAlign w:val="center"/>
          </w:tcPr>
          <w:p w14:paraId="58FAB68A">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无</w:t>
            </w:r>
          </w:p>
        </w:tc>
      </w:tr>
      <w:tr w14:paraId="30D047A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86" w:hRule="atLeast"/>
          <w:jc w:val="center"/>
        </w:trPr>
        <w:tc>
          <w:tcPr>
            <w:tcW w:w="2118" w:type="dxa"/>
            <w:gridSpan w:val="2"/>
            <w:tcBorders>
              <w:tl2br w:val="nil"/>
              <w:tr2bl w:val="nil"/>
            </w:tcBorders>
            <w:noWrap w:val="0"/>
            <w:vAlign w:val="center"/>
          </w:tcPr>
          <w:p w14:paraId="3FBE7657">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规划情况</w:t>
            </w:r>
          </w:p>
        </w:tc>
        <w:tc>
          <w:tcPr>
            <w:tcW w:w="6752" w:type="dxa"/>
            <w:gridSpan w:val="3"/>
            <w:tcBorders>
              <w:tl2br w:val="nil"/>
              <w:tr2bl w:val="nil"/>
            </w:tcBorders>
            <w:noWrap w:val="0"/>
            <w:vAlign w:val="center"/>
          </w:tcPr>
          <w:p w14:paraId="047CA66D">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无</w:t>
            </w:r>
          </w:p>
        </w:tc>
      </w:tr>
      <w:tr w14:paraId="1386F6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0" w:hRule="atLeast"/>
          <w:jc w:val="center"/>
        </w:trPr>
        <w:tc>
          <w:tcPr>
            <w:tcW w:w="2118" w:type="dxa"/>
            <w:gridSpan w:val="2"/>
            <w:tcBorders>
              <w:tl2br w:val="nil"/>
              <w:tr2bl w:val="nil"/>
            </w:tcBorders>
            <w:noWrap w:val="0"/>
            <w:vAlign w:val="center"/>
          </w:tcPr>
          <w:p w14:paraId="0E54EDA3">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规划环境影响</w:t>
            </w:r>
          </w:p>
          <w:p w14:paraId="5CFC4D0E">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评价情况</w:t>
            </w:r>
          </w:p>
        </w:tc>
        <w:tc>
          <w:tcPr>
            <w:tcW w:w="6752" w:type="dxa"/>
            <w:gridSpan w:val="3"/>
            <w:tcBorders>
              <w:tl2br w:val="nil"/>
              <w:tr2bl w:val="nil"/>
            </w:tcBorders>
            <w:noWrap w:val="0"/>
            <w:vAlign w:val="center"/>
          </w:tcPr>
          <w:p w14:paraId="4DFFCAB1">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rPr>
              <w:t>无</w:t>
            </w:r>
          </w:p>
        </w:tc>
      </w:tr>
      <w:tr w14:paraId="600AB54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9" w:hRule="atLeast"/>
          <w:jc w:val="center"/>
        </w:trPr>
        <w:tc>
          <w:tcPr>
            <w:tcW w:w="2118" w:type="dxa"/>
            <w:gridSpan w:val="2"/>
            <w:tcBorders>
              <w:tl2br w:val="nil"/>
              <w:tr2bl w:val="nil"/>
            </w:tcBorders>
            <w:noWrap w:val="0"/>
            <w:vAlign w:val="center"/>
          </w:tcPr>
          <w:p w14:paraId="60F66FD3">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w:t>
            </w:r>
          </w:p>
          <w:p w14:paraId="54258CBB">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影响评价符合性分析</w:t>
            </w:r>
          </w:p>
        </w:tc>
        <w:tc>
          <w:tcPr>
            <w:tcW w:w="6752" w:type="dxa"/>
            <w:gridSpan w:val="3"/>
            <w:tcBorders>
              <w:tl2br w:val="nil"/>
              <w:tr2bl w:val="nil"/>
            </w:tcBorders>
            <w:noWrap w:val="0"/>
            <w:vAlign w:val="center"/>
          </w:tcPr>
          <w:p w14:paraId="6B8FF2B1">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无</w:t>
            </w:r>
          </w:p>
        </w:tc>
      </w:tr>
      <w:tr w14:paraId="68A19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870" w:hRule="atLeast"/>
          <w:jc w:val="center"/>
        </w:trPr>
        <w:tc>
          <w:tcPr>
            <w:tcW w:w="740" w:type="dxa"/>
            <w:tcBorders>
              <w:tl2br w:val="nil"/>
              <w:tr2bl w:val="nil"/>
            </w:tcBorders>
            <w:noWrap w:val="0"/>
            <w:vAlign w:val="center"/>
          </w:tcPr>
          <w:p w14:paraId="4C0B1638">
            <w:pP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30" w:type="dxa"/>
            <w:gridSpan w:val="4"/>
            <w:tcBorders>
              <w:tl2br w:val="nil"/>
              <w:tr2bl w:val="nil"/>
            </w:tcBorders>
            <w:noWrap w:val="0"/>
            <w:vAlign w:val="center"/>
          </w:tcPr>
          <w:p w14:paraId="6216F70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eastAsia"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1 选址合理性分析</w:t>
            </w:r>
          </w:p>
          <w:p w14:paraId="0C5D9764">
            <w:pPr>
              <w:pStyle w:val="36"/>
              <w:spacing w:line="360" w:lineRule="auto"/>
              <w:jc w:val="both"/>
              <w:rPr>
                <w:rFonts w:hint="default"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（1）用地性质分析</w:t>
            </w:r>
          </w:p>
          <w:p w14:paraId="409CA6DE">
            <w:pPr>
              <w:pStyle w:val="36"/>
              <w:spacing w:line="360" w:lineRule="auto"/>
              <w:jc w:val="both"/>
              <w:rPr>
                <w:rFonts w:hint="default" w:ascii="Times New Roman" w:hAnsi="Times New Roman" w:eastAsia="宋体" w:cs="Times New Roman"/>
                <w:b w:val="0"/>
                <w:bCs/>
                <w:color w:val="000000"/>
                <w:sz w:val="24"/>
                <w:szCs w:val="24"/>
              </w:rPr>
            </w:pPr>
            <w:r>
              <w:rPr>
                <w:rFonts w:hint="eastAsia" w:cs="Times New Roman"/>
                <w:b w:val="0"/>
                <w:bCs/>
                <w:color w:val="auto"/>
                <w:kern w:val="2"/>
                <w:sz w:val="24"/>
                <w:szCs w:val="24"/>
                <w:highlight w:val="none"/>
                <w:lang w:val="en-US" w:eastAsia="zh-CN" w:bidi="ar-SA"/>
              </w:rPr>
              <w:t>本项目</w:t>
            </w:r>
            <w:r>
              <w:rPr>
                <w:rFonts w:hint="eastAsia" w:ascii="Times New Roman" w:hAnsi="Times New Roman" w:eastAsia="宋体" w:cs="Times New Roman"/>
                <w:b w:val="0"/>
                <w:bCs/>
                <w:color w:val="auto"/>
                <w:kern w:val="2"/>
                <w:sz w:val="24"/>
                <w:szCs w:val="22"/>
                <w:highlight w:val="none"/>
                <w:lang w:val="en-US" w:eastAsia="zh-CN" w:bidi="ar-SA"/>
              </w:rPr>
              <w:t>选址位于</w:t>
            </w:r>
            <w:r>
              <w:rPr>
                <w:rFonts w:hint="default" w:ascii="Times New Roman" w:hAnsi="Times New Roman" w:eastAsia="宋体" w:cs="Times New Roman"/>
                <w:b w:val="0"/>
                <w:bCs/>
                <w:color w:val="auto"/>
                <w:sz w:val="24"/>
                <w:szCs w:val="24"/>
                <w:highlight w:val="none"/>
                <w:lang w:val="en-US" w:eastAsia="zh-CN"/>
              </w:rPr>
              <w:t>第四师</w:t>
            </w:r>
            <w:r>
              <w:rPr>
                <w:rFonts w:hint="eastAsia" w:cs="Times New Roman"/>
                <w:b w:val="0"/>
                <w:bCs/>
                <w:color w:val="auto"/>
                <w:sz w:val="24"/>
                <w:szCs w:val="24"/>
                <w:highlight w:val="none"/>
                <w:lang w:val="en-US" w:eastAsia="zh-CN"/>
              </w:rPr>
              <w:t>六十八团五连</w:t>
            </w:r>
            <w:r>
              <w:rPr>
                <w:rFonts w:hint="eastAsia"/>
                <w:color w:val="auto"/>
                <w:highlight w:val="none"/>
                <w:lang w:eastAsia="zh-CN"/>
              </w:rPr>
              <w:t>，</w:t>
            </w:r>
            <w:r>
              <w:rPr>
                <w:rFonts w:hint="eastAsia" w:ascii="Times New Roman" w:hAnsi="Times New Roman" w:eastAsia="宋体" w:cs="Times New Roman"/>
                <w:b w:val="0"/>
                <w:bCs/>
                <w:color w:val="auto"/>
                <w:kern w:val="2"/>
                <w:sz w:val="24"/>
                <w:szCs w:val="22"/>
                <w:highlight w:val="none"/>
                <w:lang w:val="en-US" w:eastAsia="zh-CN" w:bidi="ar-SA"/>
              </w:rPr>
              <w:t>用地性质为</w:t>
            </w:r>
            <w:r>
              <w:rPr>
                <w:rFonts w:hint="eastAsia" w:cs="Times New Roman"/>
                <w:b w:val="0"/>
                <w:bCs/>
                <w:color w:val="auto"/>
                <w:kern w:val="2"/>
                <w:sz w:val="24"/>
                <w:szCs w:val="22"/>
                <w:highlight w:val="none"/>
                <w:lang w:val="en-US" w:eastAsia="zh-CN" w:bidi="ar-SA"/>
              </w:rPr>
              <w:t>工业用地</w:t>
            </w:r>
            <w:r>
              <w:rPr>
                <w:rFonts w:hint="eastAsia" w:ascii="Times New Roman" w:hAnsi="Times New Roman" w:eastAsia="宋体" w:cs="Times New Roman"/>
                <w:b w:val="0"/>
                <w:bCs/>
                <w:color w:val="auto"/>
                <w:kern w:val="2"/>
                <w:sz w:val="24"/>
                <w:szCs w:val="22"/>
                <w:highlight w:val="none"/>
                <w:lang w:val="en-US" w:eastAsia="zh-CN" w:bidi="ar-SA"/>
              </w:rPr>
              <w:t>，</w:t>
            </w:r>
            <w:r>
              <w:rPr>
                <w:rFonts w:hint="default" w:ascii="Times New Roman" w:hAnsi="Times New Roman" w:eastAsia="宋体" w:cs="Times New Roman"/>
                <w:b w:val="0"/>
                <w:bCs/>
                <w:color w:val="000000"/>
                <w:sz w:val="24"/>
                <w:szCs w:val="24"/>
              </w:rPr>
              <w:t>本项目主要从事</w:t>
            </w:r>
            <w:r>
              <w:rPr>
                <w:rFonts w:hint="default" w:ascii="Times New Roman" w:hAnsi="Times New Roman" w:eastAsia="宋体" w:cs="Times New Roman"/>
                <w:color w:val="000000"/>
                <w:sz w:val="24"/>
                <w:lang w:val="en-US" w:eastAsia="zh-CN"/>
              </w:rPr>
              <w:t>金属废料和碎屑加工处理（C4210）</w:t>
            </w:r>
            <w:r>
              <w:rPr>
                <w:rFonts w:hint="default" w:ascii="Times New Roman" w:hAnsi="Times New Roman" w:eastAsia="宋体" w:cs="Times New Roman"/>
                <w:b w:val="0"/>
                <w:bCs/>
                <w:color w:val="000000"/>
                <w:sz w:val="24"/>
                <w:szCs w:val="24"/>
              </w:rPr>
              <w:t>，为工业项目。因此，</w:t>
            </w:r>
            <w:r>
              <w:rPr>
                <w:rFonts w:hint="eastAsia" w:ascii="Times New Roman" w:hAnsi="Times New Roman" w:eastAsia="宋体" w:cs="Times New Roman"/>
                <w:b w:val="0"/>
                <w:bCs/>
                <w:color w:val="000000"/>
                <w:sz w:val="24"/>
                <w:szCs w:val="24"/>
                <w:lang w:val="en-US" w:eastAsia="zh-CN"/>
              </w:rPr>
              <w:t>本项目</w:t>
            </w:r>
            <w:r>
              <w:rPr>
                <w:rFonts w:hint="default" w:ascii="Times New Roman" w:hAnsi="Times New Roman" w:eastAsia="宋体" w:cs="Times New Roman"/>
                <w:b w:val="0"/>
                <w:bCs/>
                <w:color w:val="000000"/>
                <w:sz w:val="24"/>
                <w:szCs w:val="24"/>
              </w:rPr>
              <w:t>符合</w:t>
            </w:r>
            <w:r>
              <w:rPr>
                <w:rFonts w:hint="eastAsia" w:ascii="Times New Roman" w:hAnsi="Times New Roman" w:eastAsia="宋体" w:cs="Times New Roman"/>
                <w:color w:val="000000"/>
                <w:sz w:val="24"/>
                <w:szCs w:val="24"/>
                <w:lang w:val="en-US" w:eastAsia="zh-CN"/>
              </w:rPr>
              <w:t>用地</w:t>
            </w:r>
            <w:r>
              <w:rPr>
                <w:rFonts w:hint="default" w:ascii="Times New Roman" w:hAnsi="Times New Roman" w:eastAsia="宋体" w:cs="Times New Roman"/>
                <w:color w:val="000000"/>
                <w:sz w:val="24"/>
                <w:szCs w:val="24"/>
              </w:rPr>
              <w:t>规划</w:t>
            </w:r>
            <w:r>
              <w:rPr>
                <w:rFonts w:hint="default" w:ascii="Times New Roman" w:hAnsi="Times New Roman" w:eastAsia="宋体" w:cs="Times New Roman"/>
                <w:b w:val="0"/>
                <w:bCs/>
                <w:color w:val="000000"/>
                <w:sz w:val="24"/>
                <w:szCs w:val="24"/>
              </w:rPr>
              <w:t>。</w:t>
            </w:r>
          </w:p>
          <w:p w14:paraId="2EA02452">
            <w:pPr>
              <w:pStyle w:val="36"/>
              <w:spacing w:line="360" w:lineRule="auto"/>
              <w:jc w:val="both"/>
              <w:rPr>
                <w:rFonts w:hint="default" w:cs="Times New Roman"/>
                <w:b w:val="0"/>
                <w:bCs/>
                <w:color w:val="auto"/>
                <w:kern w:val="2"/>
                <w:sz w:val="24"/>
                <w:szCs w:val="22"/>
                <w:highlight w:val="none"/>
                <w:lang w:val="en-US" w:eastAsia="zh-CN" w:bidi="ar-SA"/>
              </w:rPr>
            </w:pPr>
            <w:r>
              <w:rPr>
                <w:rFonts w:hint="eastAsia" w:cs="Times New Roman"/>
                <w:b w:val="0"/>
                <w:bCs/>
                <w:color w:val="auto"/>
                <w:kern w:val="2"/>
                <w:sz w:val="24"/>
                <w:szCs w:val="22"/>
                <w:highlight w:val="none"/>
                <w:lang w:val="en-US" w:eastAsia="zh-CN" w:bidi="ar-SA"/>
              </w:rPr>
              <w:t>（2）环境相容性</w:t>
            </w:r>
          </w:p>
          <w:p w14:paraId="5F0291A1">
            <w:pPr>
              <w:pStyle w:val="36"/>
              <w:spacing w:line="360" w:lineRule="auto"/>
              <w:jc w:val="both"/>
              <w:rPr>
                <w:rFonts w:hint="eastAsia" w:cs="Times New Roman"/>
                <w:b w:val="0"/>
                <w:bCs/>
                <w:color w:val="auto"/>
                <w:kern w:val="2"/>
                <w:sz w:val="24"/>
                <w:szCs w:val="22"/>
                <w:highlight w:val="none"/>
                <w:lang w:val="en-US" w:eastAsia="zh-CN" w:bidi="ar-SA"/>
              </w:rPr>
            </w:pPr>
            <w:r>
              <w:rPr>
                <w:rFonts w:hint="default" w:ascii="Times New Roman" w:hAnsi="Times New Roman" w:eastAsia="宋体" w:cs="Times New Roman"/>
                <w:b w:val="0"/>
                <w:bCs/>
                <w:color w:val="000000"/>
                <w:sz w:val="24"/>
                <w:szCs w:val="24"/>
              </w:rPr>
              <w:t>本项目位于</w:t>
            </w:r>
            <w:r>
              <w:rPr>
                <w:rFonts w:hint="eastAsia" w:ascii="Times New Roman" w:hAnsi="Times New Roman" w:eastAsia="宋体" w:cs="Times New Roman"/>
                <w:b w:val="0"/>
                <w:bCs/>
                <w:color w:val="000000"/>
                <w:sz w:val="24"/>
                <w:szCs w:val="24"/>
                <w:lang w:val="en-US" w:eastAsia="zh-CN"/>
              </w:rPr>
              <w:t>六十八团五连</w:t>
            </w:r>
            <w:r>
              <w:rPr>
                <w:rFonts w:hint="default" w:ascii="Times New Roman" w:hAnsi="Times New Roman" w:eastAsia="宋体" w:cs="Times New Roman"/>
                <w:b w:val="0"/>
                <w:bCs/>
                <w:color w:val="000000"/>
                <w:sz w:val="24"/>
                <w:szCs w:val="24"/>
              </w:rPr>
              <w:t>，厂区周边分布均属于工业项目。本项目各项污染物在各项处理措施建设实施后，能够达标排放。因此，本项目建设于周边环境相容。</w:t>
            </w:r>
          </w:p>
          <w:p w14:paraId="1FAF4A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eastAsia" w:cs="Times New Roman"/>
                <w:b w:val="0"/>
                <w:bCs/>
                <w:color w:val="auto"/>
                <w:kern w:val="2"/>
                <w:sz w:val="24"/>
                <w:szCs w:val="22"/>
                <w:highlight w:val="none"/>
                <w:lang w:val="en-US" w:eastAsia="zh-CN" w:bidi="ar-SA"/>
              </w:rPr>
              <w:t>（3）</w:t>
            </w:r>
            <w:r>
              <w:rPr>
                <w:rFonts w:hint="default" w:ascii="Times New Roman" w:hAnsi="Times New Roman" w:eastAsia="宋体" w:cs="Times New Roman"/>
                <w:b w:val="0"/>
                <w:bCs/>
                <w:color w:val="000000"/>
                <w:sz w:val="24"/>
                <w:szCs w:val="24"/>
              </w:rPr>
              <w:t>环境承载能力</w:t>
            </w:r>
          </w:p>
          <w:p w14:paraId="7763B1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本项目周边500m范围内无自然保护区、风景旅游景点和文物古迹等需要特殊保护的环境敏感对象；项目所在地交通方便，水电供应可靠；本项目在做好废气治理和废水处理措施的前提下，对环境质量的影响较小，建成后不会造成环境质量下降。因此，项目在环境承载能力内。</w:t>
            </w:r>
          </w:p>
          <w:p w14:paraId="27B9E0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（4）环境功能区划相符性分析</w:t>
            </w:r>
          </w:p>
          <w:p w14:paraId="1E23DF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fldChar w:fldCharType="begin"/>
            </w:r>
            <w:r>
              <w:rPr>
                <w:rFonts w:hint="default" w:ascii="Times New Roman" w:hAnsi="Times New Roman" w:eastAsia="宋体" w:cs="Times New Roman"/>
                <w:b w:val="0"/>
                <w:bCs/>
                <w:color w:val="000000"/>
                <w:sz w:val="24"/>
                <w:szCs w:val="24"/>
              </w:rPr>
              <w:instrText xml:space="preserve"> = 1 \* GB3 \* MERGEFORMAT </w:instrText>
            </w:r>
            <w:r>
              <w:rPr>
                <w:rFonts w:hint="default" w:ascii="Times New Roman" w:hAnsi="Times New Roman" w:eastAsia="宋体" w:cs="Times New Roman"/>
                <w:b w:val="0"/>
                <w:bCs/>
                <w:color w:val="000000"/>
                <w:sz w:val="24"/>
                <w:szCs w:val="24"/>
              </w:rPr>
              <w:fldChar w:fldCharType="separate"/>
            </w:r>
            <w:r>
              <w:rPr>
                <w:rFonts w:hint="default" w:ascii="Times New Roman" w:hAnsi="Times New Roman" w:eastAsia="宋体" w:cs="Times New Roman"/>
                <w:b w:val="0"/>
                <w:bCs/>
                <w:color w:val="000000"/>
                <w:sz w:val="24"/>
                <w:szCs w:val="24"/>
              </w:rPr>
              <w:t>①</w:t>
            </w:r>
            <w:r>
              <w:rPr>
                <w:rFonts w:hint="default" w:ascii="Times New Roman" w:hAnsi="Times New Roman" w:eastAsia="宋体" w:cs="Times New Roman"/>
                <w:b w:val="0"/>
                <w:bCs/>
                <w:color w:val="000000"/>
                <w:sz w:val="24"/>
                <w:szCs w:val="24"/>
              </w:rPr>
              <w:fldChar w:fldCharType="end"/>
            </w:r>
            <w:r>
              <w:rPr>
                <w:rFonts w:hint="default" w:ascii="Times New Roman" w:hAnsi="Times New Roman" w:eastAsia="宋体" w:cs="Times New Roman"/>
                <w:b w:val="0"/>
                <w:bCs/>
                <w:color w:val="000000"/>
                <w:sz w:val="24"/>
                <w:szCs w:val="24"/>
              </w:rPr>
              <w:t>项目所在区域环境空气质量功能区属于二类区，区域内的空气环境质量不能完全满足《环境空气质量标准》及其修改单中的二级标准要求。</w:t>
            </w:r>
          </w:p>
          <w:p w14:paraId="070636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fldChar w:fldCharType="begin"/>
            </w:r>
            <w:r>
              <w:rPr>
                <w:rFonts w:hint="default" w:ascii="Times New Roman" w:hAnsi="Times New Roman" w:eastAsia="宋体" w:cs="Times New Roman"/>
                <w:b w:val="0"/>
                <w:bCs/>
                <w:color w:val="000000"/>
                <w:sz w:val="24"/>
                <w:szCs w:val="24"/>
              </w:rPr>
              <w:instrText xml:space="preserve"> = 2 \* GB3 \* MERGEFORMAT </w:instrText>
            </w:r>
            <w:r>
              <w:rPr>
                <w:rFonts w:hint="default" w:ascii="Times New Roman" w:hAnsi="Times New Roman" w:eastAsia="宋体" w:cs="Times New Roman"/>
                <w:b w:val="0"/>
                <w:bCs/>
                <w:color w:val="000000"/>
                <w:sz w:val="24"/>
                <w:szCs w:val="24"/>
              </w:rPr>
              <w:fldChar w:fldCharType="separate"/>
            </w:r>
            <w:r>
              <w:rPr>
                <w:rFonts w:hint="default" w:ascii="Times New Roman" w:hAnsi="Times New Roman" w:eastAsia="宋体" w:cs="Times New Roman"/>
                <w:b w:val="0"/>
                <w:bCs/>
                <w:color w:val="000000"/>
                <w:sz w:val="24"/>
                <w:szCs w:val="24"/>
              </w:rPr>
              <w:t>②</w:t>
            </w:r>
            <w:r>
              <w:rPr>
                <w:rFonts w:hint="default" w:ascii="Times New Roman" w:hAnsi="Times New Roman" w:eastAsia="宋体" w:cs="Times New Roman"/>
                <w:b w:val="0"/>
                <w:bCs/>
                <w:color w:val="000000"/>
                <w:sz w:val="24"/>
                <w:szCs w:val="24"/>
              </w:rPr>
              <w:fldChar w:fldCharType="end"/>
            </w:r>
            <w:r>
              <w:rPr>
                <w:rFonts w:hint="default" w:ascii="Times New Roman" w:hAnsi="Times New Roman" w:eastAsia="宋体" w:cs="Times New Roman"/>
                <w:b w:val="0"/>
                <w:bCs/>
                <w:color w:val="000000"/>
                <w:sz w:val="24"/>
                <w:szCs w:val="24"/>
              </w:rPr>
              <w:t>项目所在区域声环境质量满足《声环境质量标准》（GB3096-2008）中</w:t>
            </w:r>
            <w:r>
              <w:rPr>
                <w:rFonts w:hint="default" w:ascii="Times New Roman" w:hAnsi="Times New Roman" w:eastAsia="宋体" w:cs="Times New Roman"/>
                <w:b w:val="0"/>
                <w:bCs/>
                <w:color w:val="000000"/>
                <w:sz w:val="24"/>
                <w:szCs w:val="24"/>
                <w:lang w:val="en-US" w:eastAsia="zh-CN"/>
              </w:rPr>
              <w:t>3</w:t>
            </w:r>
            <w:r>
              <w:rPr>
                <w:rFonts w:hint="default" w:ascii="Times New Roman" w:hAnsi="Times New Roman" w:eastAsia="宋体" w:cs="Times New Roman"/>
                <w:b w:val="0"/>
                <w:bCs/>
                <w:color w:val="000000"/>
                <w:sz w:val="24"/>
                <w:szCs w:val="24"/>
              </w:rPr>
              <w:t>类区标准要求，声环境质量良好。</w:t>
            </w:r>
          </w:p>
          <w:p w14:paraId="4C9C51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val="0"/>
                <w:bCs/>
                <w:color w:val="000000"/>
                <w:sz w:val="24"/>
                <w:szCs w:val="24"/>
              </w:rPr>
              <w:t>项目实施后不会降低区域环境质量现有的功能要求。</w:t>
            </w:r>
          </w:p>
          <w:p w14:paraId="4067E43B">
            <w:pPr>
              <w:pStyle w:val="36"/>
              <w:keepNext w:val="0"/>
              <w:keepLines w:val="0"/>
              <w:pageBreakBefore w:val="0"/>
              <w:widowControl w:val="0"/>
              <w:kinsoku/>
              <w:wordWrap/>
              <w:overflowPunct/>
              <w:topLinePunct w:val="0"/>
              <w:bidi w:val="0"/>
              <w:spacing w:line="360" w:lineRule="auto"/>
              <w:jc w:val="both"/>
              <w:textAlignment w:val="auto"/>
              <w:rPr>
                <w:rFonts w:hint="default" w:ascii="宋体" w:hAnsi="宋体" w:eastAsia="宋体" w:cs="宋体"/>
                <w:b w:val="0"/>
                <w:bCs/>
                <w:color w:val="auto"/>
                <w:sz w:val="24"/>
                <w:szCs w:val="24"/>
                <w:highlight w:val="none"/>
                <w:lang w:val="en-US" w:eastAsia="zh-CN"/>
              </w:rPr>
            </w:pPr>
            <w:r>
              <w:rPr>
                <w:rFonts w:hint="default" w:ascii="Times New Roman" w:hAnsi="Times New Roman" w:eastAsia="宋体" w:cs="Times New Roman"/>
                <w:b w:val="0"/>
                <w:bCs/>
                <w:color w:val="000000"/>
                <w:sz w:val="24"/>
                <w:szCs w:val="24"/>
              </w:rPr>
              <w:t>综上所述，本项目的选址符合</w:t>
            </w:r>
            <w:r>
              <w:rPr>
                <w:rFonts w:hint="eastAsia" w:ascii="Times New Roman" w:hAnsi="Times New Roman" w:eastAsia="宋体" w:cs="Times New Roman"/>
                <w:color w:val="000000"/>
                <w:sz w:val="24"/>
                <w:szCs w:val="24"/>
                <w:lang w:val="en-US" w:eastAsia="zh-CN"/>
              </w:rPr>
              <w:t>用地</w:t>
            </w:r>
            <w:r>
              <w:rPr>
                <w:rFonts w:hint="default" w:ascii="Times New Roman" w:hAnsi="Times New Roman" w:eastAsia="宋体" w:cs="Times New Roman"/>
                <w:b w:val="0"/>
                <w:bCs/>
                <w:color w:val="000000"/>
                <w:sz w:val="24"/>
                <w:szCs w:val="24"/>
              </w:rPr>
              <w:t>，符合区域环境功能区划，与周边环境相容，在环境承载能力内，项目选址合理。</w:t>
            </w:r>
          </w:p>
          <w:p w14:paraId="41F45E1D">
            <w:pPr>
              <w:autoSpaceDE w:val="0"/>
              <w:autoSpaceDN w:val="0"/>
              <w:adjustRightInd w:val="0"/>
              <w:snapToGrid w:val="0"/>
              <w:spacing w:line="360" w:lineRule="auto"/>
              <w:rPr>
                <w:rFonts w:hint="eastAsia" w:ascii="Times New Roman" w:hAnsi="Times New Roman" w:eastAsia="Times New Roman" w:cs="Times New Roman"/>
                <w:color w:val="auto"/>
                <w:sz w:val="24"/>
                <w:szCs w:val="24"/>
                <w:highlight w:val="none"/>
                <w:lang w:val="en-US" w:eastAsia="zh-CN"/>
              </w:rPr>
            </w:pPr>
            <w:r>
              <w:rPr>
                <w:rFonts w:hint="default" w:ascii="Times New Roman" w:hAnsi="Times New Roman" w:cs="Times New Roman"/>
                <w:b/>
                <w:bCs/>
                <w:color w:val="auto"/>
                <w:kern w:val="0"/>
                <w:sz w:val="24"/>
                <w:highlight w:val="none"/>
                <w:lang w:val="en-US" w:eastAsia="zh-CN"/>
              </w:rPr>
              <w:t>2</w:t>
            </w:r>
            <w:r>
              <w:rPr>
                <w:rFonts w:hint="eastAsia" w:ascii="Times New Roman" w:hAnsi="Times New Roman" w:cs="Times New Roman"/>
                <w:b/>
                <w:bCs/>
                <w:color w:val="auto"/>
                <w:kern w:val="0"/>
                <w:sz w:val="24"/>
                <w:highlight w:val="none"/>
                <w:lang w:val="en-US" w:eastAsia="zh-CN"/>
              </w:rPr>
              <w:t xml:space="preserve"> </w:t>
            </w:r>
            <w:r>
              <w:rPr>
                <w:rFonts w:hint="default" w:ascii="Times New Roman" w:hAnsi="Times New Roman" w:eastAsia="宋体" w:cs="Times New Roman"/>
                <w:b/>
                <w:bCs/>
                <w:color w:val="auto"/>
                <w:kern w:val="0"/>
                <w:sz w:val="24"/>
                <w:highlight w:val="none"/>
                <w:lang w:val="en-US" w:eastAsia="zh-CN"/>
              </w:rPr>
              <w:t>产业政</w:t>
            </w:r>
            <w:r>
              <w:rPr>
                <w:rFonts w:hint="eastAsia" w:eastAsia="宋体"/>
                <w:b/>
                <w:bCs/>
                <w:color w:val="auto"/>
                <w:kern w:val="0"/>
                <w:sz w:val="24"/>
                <w:highlight w:val="none"/>
                <w:lang w:val="en-US" w:eastAsia="zh-CN"/>
              </w:rPr>
              <w:t>策符合性</w:t>
            </w:r>
            <w:r>
              <w:rPr>
                <w:b/>
                <w:bCs/>
                <w:color w:val="auto"/>
                <w:kern w:val="0"/>
                <w:sz w:val="24"/>
                <w:highlight w:val="none"/>
              </w:rPr>
              <w:t>分析</w:t>
            </w:r>
          </w:p>
          <w:p w14:paraId="797EE3F9">
            <w:pPr>
              <w:spacing w:line="360" w:lineRule="auto"/>
              <w:ind w:firstLine="480" w:firstLineChars="200"/>
              <w:rPr>
                <w:rFonts w:ascii="宋体" w:hAnsi="宋体" w:eastAsia="宋体" w:cs="宋体"/>
                <w:sz w:val="24"/>
                <w:szCs w:val="24"/>
              </w:rPr>
            </w:pPr>
            <w:r>
              <w:rPr>
                <w:rFonts w:ascii="宋体" w:hAnsi="宋体" w:eastAsia="宋体" w:cs="宋体"/>
                <w:sz w:val="24"/>
                <w:szCs w:val="24"/>
              </w:rPr>
              <w:t>本项目</w:t>
            </w:r>
            <w:r>
              <w:rPr>
                <w:rFonts w:hint="eastAsia" w:ascii="Times New Roman" w:hAnsi="Times New Roman" w:eastAsia="宋体" w:cs="Times New Roman"/>
                <w:color w:val="auto"/>
                <w:sz w:val="24"/>
                <w:szCs w:val="24"/>
                <w:highlight w:val="none"/>
                <w:lang w:eastAsia="zh-CN"/>
              </w:rPr>
              <w:t>对照</w:t>
            </w:r>
            <w:r>
              <w:rPr>
                <w:rFonts w:hint="default" w:ascii="Times New Roman" w:hAnsi="Times New Roman" w:eastAsia="宋体" w:cs="Times New Roman"/>
                <w:color w:val="auto"/>
                <w:spacing w:val="6"/>
                <w:kern w:val="0"/>
                <w:sz w:val="24"/>
                <w:highlight w:val="none"/>
              </w:rPr>
              <w:t>《产业结构调整指导目录</w:t>
            </w:r>
            <w:r>
              <w:rPr>
                <w:rFonts w:hint="default" w:ascii="Times New Roman" w:hAnsi="Times New Roman" w:eastAsia="宋体" w:cs="Times New Roman"/>
                <w:color w:val="auto"/>
                <w:spacing w:val="6"/>
                <w:kern w:val="0"/>
                <w:sz w:val="24"/>
                <w:highlight w:val="none"/>
                <w:lang w:eastAsia="zh-CN"/>
              </w:rPr>
              <w:t>（</w:t>
            </w:r>
            <w:r>
              <w:rPr>
                <w:rFonts w:hint="default" w:ascii="Times New Roman" w:hAnsi="Times New Roman" w:eastAsia="宋体" w:cs="Times New Roman"/>
                <w:color w:val="auto"/>
                <w:spacing w:val="6"/>
                <w:kern w:val="0"/>
                <w:sz w:val="24"/>
                <w:highlight w:val="none"/>
              </w:rPr>
              <w:t>20</w:t>
            </w:r>
            <w:r>
              <w:rPr>
                <w:rFonts w:hint="eastAsia" w:cs="Times New Roman"/>
                <w:color w:val="auto"/>
                <w:spacing w:val="6"/>
                <w:kern w:val="0"/>
                <w:sz w:val="24"/>
                <w:highlight w:val="none"/>
                <w:lang w:val="en-US" w:eastAsia="zh-CN"/>
              </w:rPr>
              <w:t>24</w:t>
            </w:r>
            <w:r>
              <w:rPr>
                <w:rFonts w:hint="default" w:ascii="Times New Roman" w:hAnsi="Times New Roman" w:eastAsia="宋体" w:cs="Times New Roman"/>
                <w:color w:val="auto"/>
                <w:spacing w:val="6"/>
                <w:kern w:val="0"/>
                <w:sz w:val="24"/>
                <w:highlight w:val="none"/>
              </w:rPr>
              <w:t>年本</w:t>
            </w:r>
            <w:r>
              <w:rPr>
                <w:rFonts w:hint="default" w:ascii="Times New Roman" w:hAnsi="Times New Roman" w:eastAsia="宋体" w:cs="Times New Roman"/>
                <w:color w:val="auto"/>
                <w:spacing w:val="6"/>
                <w:kern w:val="0"/>
                <w:sz w:val="24"/>
                <w:highlight w:val="none"/>
                <w:lang w:eastAsia="zh-CN"/>
              </w:rPr>
              <w:t>）</w:t>
            </w:r>
            <w:r>
              <w:rPr>
                <w:rFonts w:hint="default" w:ascii="Times New Roman" w:hAnsi="Times New Roman" w:eastAsia="宋体" w:cs="Times New Roman"/>
                <w:color w:val="auto"/>
                <w:spacing w:val="6"/>
                <w:kern w:val="0"/>
                <w:sz w:val="24"/>
                <w:highlight w:val="none"/>
              </w:rPr>
              <w:t>》中相关内容</w:t>
            </w:r>
            <w:r>
              <w:rPr>
                <w:rFonts w:ascii="宋体" w:hAnsi="宋体" w:eastAsia="宋体" w:cs="宋体"/>
                <w:sz w:val="24"/>
                <w:szCs w:val="24"/>
              </w:rPr>
              <w:t>，本项目</w:t>
            </w:r>
            <w:r>
              <w:rPr>
                <w:rFonts w:hint="eastAsia" w:ascii="宋体" w:hAnsi="宋体" w:cs="宋体"/>
                <w:sz w:val="24"/>
                <w:szCs w:val="24"/>
                <w:lang w:val="en-US" w:eastAsia="zh-CN"/>
              </w:rPr>
              <w:t>属</w:t>
            </w:r>
            <w:r>
              <w:rPr>
                <w:rFonts w:ascii="宋体" w:hAnsi="宋体" w:eastAsia="宋体" w:cs="宋体"/>
                <w:sz w:val="24"/>
                <w:szCs w:val="24"/>
              </w:rPr>
              <w:t>于鼓励类第</w:t>
            </w:r>
            <w:r>
              <w:rPr>
                <w:rFonts w:hint="eastAsia" w:ascii="宋体" w:hAnsi="宋体" w:cs="宋体"/>
                <w:sz w:val="24"/>
                <w:szCs w:val="24"/>
                <w:lang w:val="en-US" w:eastAsia="zh-CN"/>
              </w:rPr>
              <w:t>四十二</w:t>
            </w:r>
            <w:r>
              <w:rPr>
                <w:rFonts w:ascii="宋体" w:hAnsi="宋体" w:eastAsia="宋体" w:cs="宋体"/>
                <w:sz w:val="24"/>
                <w:szCs w:val="24"/>
              </w:rPr>
              <w:t>条第</w:t>
            </w:r>
            <w:r>
              <w:rPr>
                <w:rFonts w:hint="eastAsia" w:ascii="宋体" w:hAnsi="宋体" w:eastAsia="宋体" w:cs="宋体"/>
                <w:sz w:val="24"/>
                <w:szCs w:val="24"/>
                <w:lang w:val="en-US" w:eastAsia="zh-CN"/>
              </w:rPr>
              <w:t>8</w:t>
            </w:r>
            <w:r>
              <w:rPr>
                <w:rFonts w:ascii="宋体" w:hAnsi="宋体" w:eastAsia="宋体" w:cs="宋体"/>
                <w:sz w:val="24"/>
                <w:szCs w:val="24"/>
              </w:rPr>
              <w:t>款“</w:t>
            </w:r>
            <w:r>
              <w:rPr>
                <w:rFonts w:ascii="宋体" w:hAnsi="宋体" w:eastAsia="宋体" w:cs="宋体"/>
                <w:sz w:val="24"/>
                <w:szCs w:val="24"/>
                <w:lang w:val="en-US" w:eastAsia="zh-CN"/>
              </w:rPr>
              <w:t>废弃物循环利用</w:t>
            </w:r>
            <w:r>
              <w:rPr>
                <w:rFonts w:hint="eastAsia" w:ascii="宋体" w:hAnsi="宋体" w:cs="宋体"/>
                <w:sz w:val="24"/>
                <w:szCs w:val="24"/>
                <w:lang w:val="en-US" w:eastAsia="zh-CN"/>
              </w:rPr>
              <w:t>：废钢铁、废有色金属、废橡胶、废玻璃、废塑料、废旧木材以及报废汽车、废弃电器电子产品、废旧电池、废轮胎等”</w:t>
            </w:r>
            <w:r>
              <w:rPr>
                <w:rFonts w:ascii="宋体" w:hAnsi="宋体" w:eastAsia="宋体" w:cs="宋体"/>
                <w:sz w:val="24"/>
                <w:szCs w:val="24"/>
              </w:rPr>
              <w:t>，本项目符合国家产业政策要求。</w:t>
            </w:r>
          </w:p>
          <w:p w14:paraId="642E15CC">
            <w:pPr>
              <w:spacing w:line="360" w:lineRule="auto"/>
              <w:ind w:firstLine="504" w:firstLineChars="200"/>
              <w:rPr>
                <w:rFonts w:hint="default" w:ascii="Times New Roman" w:hAnsi="Times New Roman" w:eastAsia="宋体" w:cs="Times New Roman"/>
                <w:color w:val="auto"/>
                <w:spacing w:val="6"/>
                <w:kern w:val="0"/>
                <w:sz w:val="24"/>
                <w:highlight w:val="none"/>
              </w:rPr>
            </w:pPr>
            <w:r>
              <w:rPr>
                <w:rFonts w:hint="default" w:ascii="Times New Roman" w:hAnsi="Times New Roman" w:eastAsia="宋体" w:cs="Times New Roman"/>
                <w:color w:val="auto"/>
                <w:spacing w:val="6"/>
                <w:kern w:val="0"/>
                <w:sz w:val="24"/>
                <w:highlight w:val="none"/>
                <w:lang w:eastAsia="zh-CN"/>
              </w:rPr>
              <w:t>根据</w:t>
            </w:r>
            <w:r>
              <w:rPr>
                <w:rFonts w:hint="default" w:ascii="Times New Roman" w:hAnsi="Times New Roman" w:eastAsia="宋体" w:cs="Times New Roman"/>
                <w:color w:val="auto"/>
                <w:spacing w:val="6"/>
                <w:kern w:val="0"/>
                <w:sz w:val="24"/>
                <w:highlight w:val="none"/>
              </w:rPr>
              <w:t>国家发展改革委和商务部发布的《市场准入负面清单（20</w:t>
            </w:r>
            <w:r>
              <w:rPr>
                <w:rFonts w:hint="eastAsia" w:ascii="Times New Roman" w:hAnsi="Times New Roman" w:eastAsia="宋体" w:cs="Times New Roman"/>
                <w:color w:val="auto"/>
                <w:spacing w:val="6"/>
                <w:kern w:val="0"/>
                <w:sz w:val="24"/>
                <w:highlight w:val="none"/>
                <w:lang w:val="en-US" w:eastAsia="zh-CN"/>
              </w:rPr>
              <w:t>22</w:t>
            </w:r>
            <w:r>
              <w:rPr>
                <w:rFonts w:hint="default" w:ascii="Times New Roman" w:hAnsi="Times New Roman" w:eastAsia="宋体" w:cs="Times New Roman"/>
                <w:color w:val="auto"/>
                <w:spacing w:val="6"/>
                <w:kern w:val="0"/>
                <w:sz w:val="24"/>
                <w:highlight w:val="none"/>
              </w:rPr>
              <w:t>年版）》</w:t>
            </w:r>
            <w:r>
              <w:rPr>
                <w:rFonts w:hint="default" w:ascii="Times New Roman" w:hAnsi="Times New Roman" w:eastAsia="宋体" w:cs="Times New Roman"/>
                <w:color w:val="auto"/>
                <w:spacing w:val="6"/>
                <w:kern w:val="0"/>
                <w:sz w:val="24"/>
                <w:highlight w:val="none"/>
                <w:lang w:eastAsia="zh-CN"/>
              </w:rPr>
              <w:t>以及</w:t>
            </w:r>
            <w:r>
              <w:rPr>
                <w:rFonts w:hint="default" w:ascii="Times New Roman" w:hAnsi="Times New Roman" w:eastAsia="宋体" w:cs="Times New Roman"/>
                <w:color w:val="auto"/>
                <w:spacing w:val="6"/>
                <w:kern w:val="0"/>
                <w:sz w:val="24"/>
                <w:highlight w:val="none"/>
              </w:rPr>
              <w:t>《关于印发新疆维吾尔自治区28个国家重点生态功能区县（市）、和17个新增国家重点生态功能区县市产业准入负面清单（试行）的通知》，</w:t>
            </w:r>
            <w:r>
              <w:rPr>
                <w:rFonts w:hint="default" w:ascii="Times New Roman" w:hAnsi="Times New Roman" w:eastAsia="宋体" w:cs="Times New Roman"/>
                <w:color w:val="auto"/>
                <w:spacing w:val="6"/>
                <w:kern w:val="0"/>
                <w:sz w:val="24"/>
                <w:highlight w:val="none"/>
                <w:lang w:eastAsia="zh-CN"/>
              </w:rPr>
              <w:t>不属于禁止类</w:t>
            </w:r>
            <w:r>
              <w:rPr>
                <w:rFonts w:hint="eastAsia" w:ascii="Times New Roman" w:hAnsi="Times New Roman" w:eastAsia="宋体" w:cs="Times New Roman"/>
                <w:color w:val="auto"/>
                <w:spacing w:val="6"/>
                <w:kern w:val="0"/>
                <w:sz w:val="24"/>
                <w:highlight w:val="none"/>
                <w:lang w:eastAsia="zh-CN"/>
              </w:rPr>
              <w:t>项目</w:t>
            </w:r>
            <w:r>
              <w:rPr>
                <w:rFonts w:hint="default" w:ascii="Times New Roman" w:hAnsi="Times New Roman" w:eastAsia="宋体" w:cs="Times New Roman"/>
                <w:color w:val="auto"/>
                <w:spacing w:val="6"/>
                <w:kern w:val="0"/>
                <w:sz w:val="24"/>
                <w:highlight w:val="none"/>
              </w:rPr>
              <w:t>。</w:t>
            </w:r>
          </w:p>
          <w:p w14:paraId="28FFA0CF">
            <w:pPr>
              <w:spacing w:line="360" w:lineRule="auto"/>
              <w:ind w:firstLine="504" w:firstLineChars="200"/>
              <w:rPr>
                <w:rFonts w:hint="default" w:ascii="Times New Roman" w:hAnsi="Times New Roman" w:eastAsia="宋体" w:cs="Times New Roman"/>
                <w:color w:val="auto"/>
                <w:spacing w:val="6"/>
                <w:kern w:val="0"/>
                <w:sz w:val="24"/>
                <w:highlight w:val="none"/>
                <w:lang w:val="en-US" w:eastAsia="zh-CN"/>
              </w:rPr>
            </w:pPr>
            <w:r>
              <w:rPr>
                <w:rFonts w:hint="eastAsia" w:ascii="Times New Roman" w:hAnsi="Times New Roman" w:eastAsia="宋体" w:cs="Times New Roman"/>
                <w:color w:val="auto"/>
                <w:spacing w:val="6"/>
                <w:kern w:val="0"/>
                <w:sz w:val="24"/>
                <w:highlight w:val="none"/>
                <w:lang w:eastAsia="zh-CN"/>
              </w:rPr>
              <w:t>本项目已于</w:t>
            </w:r>
            <w:r>
              <w:rPr>
                <w:rFonts w:hint="eastAsia" w:ascii="Times New Roman" w:hAnsi="Times New Roman" w:eastAsia="宋体" w:cs="Times New Roman"/>
                <w:color w:val="auto"/>
                <w:spacing w:val="6"/>
                <w:kern w:val="0"/>
                <w:sz w:val="24"/>
                <w:highlight w:val="none"/>
                <w:lang w:val="en-US" w:eastAsia="zh-CN"/>
              </w:rPr>
              <w:t>新疆生产建设兵团第四师</w:t>
            </w:r>
            <w:r>
              <w:rPr>
                <w:rFonts w:hint="eastAsia" w:cs="Times New Roman"/>
                <w:color w:val="auto"/>
                <w:spacing w:val="6"/>
                <w:kern w:val="0"/>
                <w:sz w:val="24"/>
                <w:highlight w:val="none"/>
                <w:lang w:val="en-US" w:eastAsia="zh-CN"/>
              </w:rPr>
              <w:t>六十八</w:t>
            </w:r>
            <w:r>
              <w:rPr>
                <w:rFonts w:hint="eastAsia" w:ascii="Times New Roman" w:hAnsi="Times New Roman" w:eastAsia="宋体" w:cs="Times New Roman"/>
                <w:color w:val="auto"/>
                <w:spacing w:val="6"/>
                <w:kern w:val="0"/>
                <w:sz w:val="24"/>
                <w:highlight w:val="none"/>
                <w:lang w:val="en-US" w:eastAsia="zh-CN"/>
              </w:rPr>
              <w:t>团经济发展办公室</w:t>
            </w:r>
            <w:r>
              <w:rPr>
                <w:rFonts w:hint="eastAsia" w:ascii="Times New Roman" w:hAnsi="Times New Roman" w:eastAsia="宋体" w:cs="Times New Roman"/>
                <w:color w:val="auto"/>
                <w:spacing w:val="6"/>
                <w:kern w:val="0"/>
                <w:sz w:val="24"/>
                <w:highlight w:val="none"/>
                <w:lang w:eastAsia="zh-CN"/>
              </w:rPr>
              <w:t>进行了备案，备案号为：</w:t>
            </w:r>
            <w:r>
              <w:rPr>
                <w:rFonts w:hint="eastAsia" w:cs="Times New Roman"/>
                <w:color w:val="auto"/>
                <w:spacing w:val="6"/>
                <w:kern w:val="0"/>
                <w:sz w:val="24"/>
                <w:highlight w:val="none"/>
                <w:lang w:val="en-US" w:eastAsia="zh-CN"/>
              </w:rPr>
              <w:t>68团</w:t>
            </w:r>
            <w:r>
              <w:rPr>
                <w:rFonts w:hint="default" w:ascii="Times New Roman" w:hAnsi="Times New Roman" w:eastAsia="宋体" w:cs="Times New Roman"/>
                <w:color w:val="auto"/>
                <w:sz w:val="24"/>
                <w:szCs w:val="24"/>
                <w:highlight w:val="none"/>
                <w:lang w:val="en-US" w:eastAsia="zh-CN"/>
              </w:rPr>
              <w:t>经发办备〔202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pacing w:val="6"/>
                <w:kern w:val="0"/>
                <w:sz w:val="24"/>
                <w:highlight w:val="none"/>
                <w:lang w:val="en-US" w:eastAsia="zh-CN"/>
              </w:rPr>
              <w:t>。</w:t>
            </w:r>
          </w:p>
          <w:p w14:paraId="53208BD6">
            <w:pPr>
              <w:spacing w:line="360" w:lineRule="auto"/>
              <w:ind w:firstLine="504" w:firstLineChars="200"/>
              <w:rPr>
                <w:rFonts w:hint="eastAsia" w:ascii="Times New Roman" w:hAnsi="Times New Roman" w:eastAsia="宋体" w:cs="Times New Roman"/>
                <w:b/>
                <w:bCs/>
                <w:color w:val="auto"/>
                <w:kern w:val="0"/>
                <w:sz w:val="24"/>
                <w:highlight w:val="none"/>
                <w:lang w:eastAsia="zh-CN"/>
              </w:rPr>
            </w:pPr>
            <w:r>
              <w:rPr>
                <w:rFonts w:hint="default" w:ascii="Times New Roman" w:hAnsi="Times New Roman" w:eastAsia="宋体" w:cs="Times New Roman"/>
                <w:color w:val="auto"/>
                <w:spacing w:val="6"/>
                <w:kern w:val="0"/>
                <w:sz w:val="24"/>
                <w:highlight w:val="none"/>
              </w:rPr>
              <w:t>综上所述，本项目</w:t>
            </w:r>
            <w:r>
              <w:rPr>
                <w:rFonts w:hint="default" w:ascii="Times New Roman" w:hAnsi="Times New Roman" w:eastAsia="宋体" w:cs="Times New Roman"/>
                <w:color w:val="auto"/>
                <w:kern w:val="0"/>
                <w:sz w:val="24"/>
                <w:highlight w:val="none"/>
              </w:rPr>
              <w:t>的建设符合国家</w:t>
            </w:r>
            <w:r>
              <w:rPr>
                <w:rFonts w:hint="eastAsia" w:ascii="Times New Roman" w:hAnsi="Times New Roman" w:eastAsia="宋体" w:cs="Times New Roman"/>
                <w:color w:val="auto"/>
                <w:kern w:val="0"/>
                <w:sz w:val="24"/>
                <w:highlight w:val="none"/>
                <w:lang w:eastAsia="zh-CN"/>
              </w:rPr>
              <w:t>和当地</w:t>
            </w:r>
            <w:r>
              <w:rPr>
                <w:rFonts w:hint="default" w:ascii="Times New Roman" w:hAnsi="Times New Roman" w:eastAsia="宋体" w:cs="Times New Roman"/>
                <w:color w:val="auto"/>
                <w:kern w:val="0"/>
                <w:sz w:val="24"/>
                <w:highlight w:val="none"/>
              </w:rPr>
              <w:t>产业政策</w:t>
            </w:r>
            <w:r>
              <w:rPr>
                <w:rFonts w:hint="eastAsia" w:ascii="Times New Roman" w:hAnsi="Times New Roman" w:eastAsia="宋体" w:cs="Times New Roman"/>
                <w:color w:val="auto"/>
                <w:kern w:val="0"/>
                <w:sz w:val="24"/>
                <w:highlight w:val="none"/>
                <w:lang w:eastAsia="zh-CN"/>
              </w:rPr>
              <w:t>。</w:t>
            </w:r>
          </w:p>
          <w:p w14:paraId="617C1B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
                <w:bCs/>
                <w:color w:val="auto"/>
                <w:sz w:val="24"/>
                <w:szCs w:val="24"/>
                <w:highlight w:val="none"/>
                <w:lang w:eastAsia="zh-CN"/>
              </w:rPr>
            </w:pPr>
            <w:r>
              <w:rPr>
                <w:rFonts w:hint="eastAsia" w:cs="Times New Roman"/>
                <w:b/>
                <w:bCs/>
                <w:color w:val="auto"/>
                <w:kern w:val="44"/>
                <w:sz w:val="24"/>
                <w:szCs w:val="24"/>
                <w:highlight w:val="none"/>
                <w:lang w:val="en-US" w:eastAsia="zh-CN"/>
              </w:rPr>
              <w:t xml:space="preserve">3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bCs/>
                <w:color w:val="auto"/>
                <w:sz w:val="24"/>
                <w:szCs w:val="24"/>
                <w:highlight w:val="none"/>
              </w:rPr>
              <w:t>新疆生产建设兵团</w:t>
            </w:r>
            <w:r>
              <w:rPr>
                <w:rFonts w:hint="default" w:ascii="Times New Roman" w:hAnsi="Times New Roman" w:eastAsia="宋体" w:cs="Times New Roman"/>
                <w:b/>
                <w:bCs/>
                <w:color w:val="auto"/>
                <w:sz w:val="24"/>
                <w:szCs w:val="24"/>
                <w:highlight w:val="none"/>
                <w:lang w:eastAsia="zh-CN"/>
              </w:rPr>
              <w:t>“三线一单”</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eastAsia="zh-CN"/>
              </w:rPr>
              <w:t>和产业准入负面清单的控制要求</w:t>
            </w:r>
          </w:p>
          <w:p w14:paraId="0607ACFA">
            <w:pPr>
              <w:spacing w:line="360" w:lineRule="auto"/>
              <w:ind w:firstLine="480" w:firstLineChars="200"/>
              <w:rPr>
                <w:sz w:val="24"/>
              </w:rPr>
            </w:pPr>
            <w:r>
              <w:rPr>
                <w:kern w:val="0"/>
                <w:sz w:val="24"/>
              </w:rPr>
              <w:t>根据</w:t>
            </w:r>
            <w:r>
              <w:rPr>
                <w:rFonts w:hint="eastAsia"/>
                <w:kern w:val="0"/>
                <w:sz w:val="24"/>
                <w:lang w:val="en-US" w:eastAsia="zh-CN"/>
              </w:rPr>
              <w:t>生态环境部</w:t>
            </w:r>
            <w:r>
              <w:rPr>
                <w:kern w:val="0"/>
                <w:sz w:val="24"/>
              </w:rPr>
              <w:t>《</w:t>
            </w:r>
            <w:r>
              <w:rPr>
                <w:rFonts w:hint="eastAsia"/>
                <w:kern w:val="0"/>
                <w:sz w:val="24"/>
                <w:lang w:val="en-US" w:eastAsia="zh-CN"/>
              </w:rPr>
              <w:t>关于实施“三线一单”生态环境分区管控的指导意见（试行）</w:t>
            </w:r>
            <w:r>
              <w:rPr>
                <w:kern w:val="0"/>
                <w:sz w:val="24"/>
              </w:rPr>
              <w:t>》（环环评〔</w:t>
            </w:r>
            <w:r>
              <w:rPr>
                <w:rFonts w:hint="eastAsia"/>
                <w:kern w:val="0"/>
                <w:sz w:val="24"/>
                <w:lang w:val="en-US" w:eastAsia="zh-CN"/>
              </w:rPr>
              <w:t>2021</w:t>
            </w:r>
            <w:r>
              <w:rPr>
                <w:kern w:val="0"/>
                <w:sz w:val="24"/>
              </w:rPr>
              <w:t>〕</w:t>
            </w:r>
            <w:r>
              <w:rPr>
                <w:rFonts w:hint="eastAsia"/>
                <w:kern w:val="0"/>
                <w:sz w:val="24"/>
                <w:lang w:val="en-US" w:eastAsia="zh-CN"/>
              </w:rPr>
              <w:t>108</w:t>
            </w:r>
            <w:r>
              <w:rPr>
                <w:kern w:val="0"/>
                <w:sz w:val="24"/>
              </w:rPr>
              <w:t>号），三线一单中的三线是指“生态保护红线、环境质量底线、资源利用上线”，一单为生态环境准入清单。</w:t>
            </w:r>
          </w:p>
          <w:p w14:paraId="55BA53C1">
            <w:pPr>
              <w:spacing w:line="360" w:lineRule="auto"/>
              <w:ind w:firstLine="480" w:firstLineChars="200"/>
              <w:rPr>
                <w:sz w:val="24"/>
              </w:rPr>
            </w:pPr>
            <w:r>
              <w:rPr>
                <w:sz w:val="24"/>
                <w:highlight w:val="none"/>
                <w:shd w:val="clear"/>
              </w:rPr>
              <w:t>根据新疆生产建设兵团办公厅新兵发〔2021〕16号《关于印发</w:t>
            </w:r>
            <w:r>
              <w:rPr>
                <w:rFonts w:hint="eastAsia"/>
                <w:sz w:val="24"/>
                <w:highlight w:val="none"/>
                <w:shd w:val="clear"/>
                <w:lang w:val="en-US" w:eastAsia="zh-CN"/>
              </w:rPr>
              <w:t>&lt;</w:t>
            </w:r>
            <w:r>
              <w:rPr>
                <w:sz w:val="24"/>
                <w:highlight w:val="none"/>
                <w:shd w:val="clear"/>
              </w:rPr>
              <w:t>新疆生产建设兵团“三线一单”生态环境分区管控方案</w:t>
            </w:r>
            <w:r>
              <w:rPr>
                <w:rFonts w:hint="eastAsia"/>
                <w:sz w:val="24"/>
                <w:highlight w:val="none"/>
                <w:shd w:val="clear"/>
                <w:lang w:val="en-US" w:eastAsia="zh-CN"/>
              </w:rPr>
              <w:t>&gt;</w:t>
            </w:r>
            <w:r>
              <w:rPr>
                <w:sz w:val="24"/>
                <w:highlight w:val="none"/>
                <w:shd w:val="clear"/>
              </w:rPr>
              <w:t>的通知》要求，按照生态环境部统一部署，兵团组织编制</w:t>
            </w:r>
            <w:r>
              <w:rPr>
                <w:sz w:val="24"/>
              </w:rPr>
              <w:t>了“生态保护红线、环境质量底线、资源利用上线和生态环境准入清单”（以下简称“三线一单”），现就实施“三线一单”生态环境分区管控，制定本方案，项目与新兵发〔2021〕16号文符合性分析如下：</w:t>
            </w:r>
          </w:p>
          <w:p w14:paraId="6FFC5117">
            <w:pPr>
              <w:spacing w:line="360" w:lineRule="auto"/>
              <w:ind w:firstLine="480" w:firstLineChars="200"/>
              <w:rPr>
                <w:sz w:val="24"/>
              </w:rPr>
            </w:pPr>
            <w:r>
              <w:rPr>
                <w:sz w:val="24"/>
              </w:rPr>
              <w:t>（1）生态保护红线</w:t>
            </w:r>
          </w:p>
          <w:p w14:paraId="627E03D7">
            <w:pPr>
              <w:spacing w:line="360" w:lineRule="auto"/>
              <w:ind w:firstLine="480" w:firstLineChars="200"/>
              <w:rPr>
                <w:sz w:val="24"/>
              </w:rPr>
            </w:pPr>
            <w:r>
              <w:rPr>
                <w:sz w:val="24"/>
              </w:rPr>
              <w:t>主要目标：按照“生态功能不降低、面积不减少、性质不改变”的基本要求，对划定的生态保护红线实施严格管控，保障和维护</w:t>
            </w:r>
            <w:r>
              <w:rPr>
                <w:rFonts w:hint="eastAsia"/>
                <w:sz w:val="24"/>
                <w:lang w:val="en-US" w:eastAsia="zh-CN"/>
              </w:rPr>
              <w:t>国家</w:t>
            </w:r>
            <w:r>
              <w:rPr>
                <w:sz w:val="24"/>
              </w:rPr>
              <w:t>生态安全的底线和生命线。</w:t>
            </w:r>
          </w:p>
          <w:p w14:paraId="6631D79A">
            <w:pPr>
              <w:spacing w:line="360" w:lineRule="auto"/>
              <w:ind w:firstLine="480" w:firstLineChars="200"/>
              <w:rPr>
                <w:sz w:val="24"/>
              </w:rPr>
            </w:pPr>
            <w:r>
              <w:rPr>
                <w:sz w:val="24"/>
              </w:rPr>
              <w:t>符合性分析：本项目为新建项目，项目区位于第四师</w:t>
            </w:r>
            <w:r>
              <w:rPr>
                <w:rFonts w:hint="eastAsia"/>
                <w:sz w:val="24"/>
                <w:lang w:val="en-US" w:eastAsia="zh-CN"/>
              </w:rPr>
              <w:t>68团5连</w:t>
            </w:r>
            <w:r>
              <w:rPr>
                <w:sz w:val="24"/>
              </w:rPr>
              <w:t>。本项目所在地不涉及自然保护区、风景名胜区等各类保护地边界、江河、湖库以及海岸等向陆域延伸一定距离的边界等，项目建设不涉及</w:t>
            </w:r>
            <w:r>
              <w:rPr>
                <w:rFonts w:hint="eastAsia"/>
                <w:sz w:val="24"/>
                <w:lang w:eastAsia="zh-CN"/>
              </w:rPr>
              <w:t>生态保护红线</w:t>
            </w:r>
            <w:r>
              <w:rPr>
                <w:sz w:val="24"/>
              </w:rPr>
              <w:t>区域，符合生态保护红线要求。</w:t>
            </w:r>
          </w:p>
          <w:p w14:paraId="486449DB">
            <w:pPr>
              <w:spacing w:line="360" w:lineRule="auto"/>
              <w:ind w:firstLine="480" w:firstLineChars="200"/>
              <w:rPr>
                <w:sz w:val="24"/>
              </w:rPr>
            </w:pPr>
            <w:r>
              <w:rPr>
                <w:sz w:val="24"/>
              </w:rPr>
              <w:t>（2）环境质量底线</w:t>
            </w:r>
          </w:p>
          <w:p w14:paraId="6E70F4F1">
            <w:pPr>
              <w:spacing w:line="360" w:lineRule="auto"/>
              <w:ind w:firstLine="480" w:firstLineChars="200"/>
              <w:rPr>
                <w:sz w:val="24"/>
              </w:rPr>
            </w:pPr>
            <w:r>
              <w:rPr>
                <w:sz w:val="24"/>
              </w:rPr>
              <w:t>主要目标：水环境质量持续改善，受污染地表水体得到有效治理，河流水质优良断面比例保持稳定，饮用水安全保障水平持续提升，地下水水质保持稳定。环境空气质量稳步提升，重污染天数持续减少，已达标城市环境空气质量保持稳定，未达标城市环境空气质量持续改善。土壤环境质量保持稳定，受污染地块安全利用水平稳中求进，土壤环境风险得到进一步管控。</w:t>
            </w:r>
          </w:p>
          <w:p w14:paraId="11C1649B">
            <w:pPr>
              <w:spacing w:line="360" w:lineRule="auto"/>
              <w:ind w:firstLine="480" w:firstLineChars="200"/>
              <w:rPr>
                <w:sz w:val="24"/>
              </w:rPr>
            </w:pPr>
            <w:r>
              <w:rPr>
                <w:sz w:val="24"/>
              </w:rPr>
              <w:t>符合性分析：</w:t>
            </w:r>
          </w:p>
          <w:p w14:paraId="6CA4D31E">
            <w:pPr>
              <w:spacing w:line="360" w:lineRule="auto"/>
              <w:ind w:firstLine="480" w:firstLineChars="200"/>
              <w:rPr>
                <w:sz w:val="24"/>
              </w:rPr>
            </w:pPr>
            <w:r>
              <w:rPr>
                <w:rFonts w:hint="eastAsia" w:ascii="宋体" w:hAnsi="宋体" w:cs="宋体"/>
                <w:sz w:val="24"/>
              </w:rPr>
              <w:t>①</w:t>
            </w:r>
            <w:r>
              <w:rPr>
                <w:sz w:val="24"/>
              </w:rPr>
              <w:t>环境空气：本项目选址区域为环境空气功能区二类区，执行二级标准。</w:t>
            </w:r>
            <w:r>
              <w:rPr>
                <w:rFonts w:hint="default"/>
                <w:sz w:val="24"/>
              </w:rPr>
              <w:t>项目在严格执行环评中所提出的</w:t>
            </w:r>
            <w:r>
              <w:rPr>
                <w:rFonts w:hint="default"/>
                <w:sz w:val="24"/>
                <w:lang w:eastAsia="zh-CN"/>
              </w:rPr>
              <w:t>废气</w:t>
            </w:r>
            <w:r>
              <w:rPr>
                <w:rFonts w:hint="default"/>
                <w:sz w:val="24"/>
              </w:rPr>
              <w:t>治理措施后，满足相应排放标准，不会降低区域环境空气质量。</w:t>
            </w:r>
          </w:p>
          <w:p w14:paraId="383C4A0F">
            <w:pPr>
              <w:spacing w:line="360" w:lineRule="auto"/>
              <w:ind w:firstLine="480" w:firstLineChars="200"/>
              <w:rPr>
                <w:rFonts w:hint="eastAsia" w:eastAsia="宋体"/>
                <w:sz w:val="24"/>
                <w:lang w:eastAsia="zh-CN"/>
              </w:rPr>
            </w:pPr>
            <w:r>
              <w:rPr>
                <w:rFonts w:hint="eastAsia" w:ascii="宋体" w:hAnsi="宋体" w:cs="宋体"/>
                <w:sz w:val="24"/>
              </w:rPr>
              <w:t>②</w:t>
            </w:r>
            <w:r>
              <w:rPr>
                <w:sz w:val="24"/>
              </w:rPr>
              <w:t>水环境：</w:t>
            </w:r>
            <w:r>
              <w:rPr>
                <w:rFonts w:hint="eastAsia" w:ascii="Times New Roman" w:hAnsi="Times New Roman" w:eastAsia="宋体" w:cs="Times New Roman"/>
                <w:sz w:val="24"/>
                <w:lang w:val="en-US" w:eastAsia="zh-CN"/>
              </w:rPr>
              <w:t>本项目</w:t>
            </w:r>
            <w:r>
              <w:rPr>
                <w:rFonts w:hint="eastAsia" w:cs="Times New Roman"/>
                <w:sz w:val="24"/>
                <w:lang w:val="en-US" w:eastAsia="zh-CN"/>
              </w:rPr>
              <w:t>生产废水经油水分离器处理后和</w:t>
            </w:r>
            <w:r>
              <w:rPr>
                <w:rFonts w:hint="eastAsia" w:ascii="Times New Roman" w:hAnsi="Times New Roman" w:eastAsia="宋体" w:cs="Times New Roman"/>
                <w:sz w:val="24"/>
                <w:lang w:val="en-US" w:eastAsia="zh-CN"/>
              </w:rPr>
              <w:t>生活污水由厂区内排水管网排至68团排水总管内，进入68团污水处理厂处理，</w:t>
            </w:r>
            <w:r>
              <w:rPr>
                <w:rFonts w:hint="default" w:ascii="Times New Roman" w:hAnsi="Times New Roman" w:eastAsia="宋体" w:cs="Times New Roman"/>
                <w:color w:val="auto"/>
                <w:sz w:val="24"/>
                <w:szCs w:val="24"/>
                <w:highlight w:val="none"/>
              </w:rPr>
              <w:t>对周边水环境质量影响较小，不会降低区域水环境质量</w:t>
            </w:r>
            <w:r>
              <w:rPr>
                <w:rFonts w:hint="eastAsia" w:cs="Times New Roman"/>
                <w:color w:val="auto"/>
                <w:sz w:val="24"/>
                <w:szCs w:val="24"/>
                <w:highlight w:val="none"/>
                <w:lang w:eastAsia="zh-CN"/>
              </w:rPr>
              <w:t>。</w:t>
            </w:r>
          </w:p>
          <w:p w14:paraId="435A3886">
            <w:pPr>
              <w:spacing w:line="360" w:lineRule="auto"/>
              <w:ind w:firstLine="480" w:firstLineChars="200"/>
              <w:rPr>
                <w:sz w:val="24"/>
              </w:rPr>
            </w:pPr>
            <w:r>
              <w:rPr>
                <w:rFonts w:hint="eastAsia" w:ascii="宋体" w:hAnsi="宋体" w:cs="宋体"/>
                <w:sz w:val="24"/>
              </w:rPr>
              <w:t>③</w:t>
            </w:r>
            <w:r>
              <w:rPr>
                <w:sz w:val="24"/>
              </w:rPr>
              <w:t>土壤：</w:t>
            </w:r>
            <w:r>
              <w:rPr>
                <w:rFonts w:hint="default" w:ascii="Times New Roman" w:hAnsi="Times New Roman" w:eastAsia="宋体" w:cs="Times New Roman"/>
                <w:color w:val="auto"/>
                <w:sz w:val="24"/>
                <w:szCs w:val="24"/>
                <w:highlight w:val="none"/>
              </w:rPr>
              <w:t>项目采取防渗措施后对区域土壤环境影响较小</w:t>
            </w:r>
            <w:r>
              <w:rPr>
                <w:sz w:val="24"/>
              </w:rPr>
              <w:t>。</w:t>
            </w:r>
          </w:p>
          <w:p w14:paraId="1F77CAE3">
            <w:pPr>
              <w:spacing w:line="360" w:lineRule="auto"/>
              <w:ind w:firstLine="480" w:firstLineChars="200"/>
              <w:rPr>
                <w:sz w:val="24"/>
              </w:rPr>
            </w:pPr>
            <w:r>
              <w:rPr>
                <w:sz w:val="24"/>
              </w:rPr>
              <w:t>（3）资源利用上线</w:t>
            </w:r>
          </w:p>
          <w:p w14:paraId="7FCACF1E">
            <w:pPr>
              <w:spacing w:line="360" w:lineRule="auto"/>
              <w:ind w:firstLine="480" w:firstLineChars="200"/>
              <w:rPr>
                <w:sz w:val="24"/>
              </w:rPr>
            </w:pPr>
            <w:r>
              <w:rPr>
                <w:sz w:val="24"/>
              </w:rPr>
              <w:t>主要目</w:t>
            </w:r>
            <w:r>
              <w:rPr>
                <w:rFonts w:ascii="Times New Roman" w:hAnsi="Times New Roman" w:eastAsia="宋体" w:cs="Times New Roman"/>
                <w:sz w:val="24"/>
              </w:rPr>
              <w:t>标：强化节约集约利用，持续提升资源能源利用效率，水资源、土地资源、能源消耗达到国家、兵团下达的总量和强度控制目标，地下水超采得到严格控制。加快区域低碳发展，积极推动低碳试点城市建设，发挥低碳试点示范引领作用。</w:t>
            </w:r>
          </w:p>
          <w:p w14:paraId="1F686C45">
            <w:pPr>
              <w:spacing w:line="360" w:lineRule="auto"/>
              <w:ind w:firstLine="480" w:firstLineChars="200"/>
              <w:rPr>
                <w:sz w:val="24"/>
              </w:rPr>
            </w:pPr>
            <w:r>
              <w:rPr>
                <w:sz w:val="24"/>
              </w:rPr>
              <w:t>符合性分析：本项目属于新建项目，本项目用电来自当地供电电网，水源</w:t>
            </w:r>
            <w:r>
              <w:rPr>
                <w:rFonts w:hint="eastAsia"/>
                <w:sz w:val="24"/>
                <w:lang w:val="en-US" w:eastAsia="zh-CN"/>
              </w:rPr>
              <w:t>来自于项目区市政给水管网</w:t>
            </w:r>
            <w:r>
              <w:rPr>
                <w:sz w:val="24"/>
              </w:rPr>
              <w:t>，所需材料外购于当地，不存在资源过度利用的现象，不会突破资源利用上线。项目区不涉及基本农田、耕地等土地资源。综上，项目对资源的使用较少、利用率较高，不触及资源利用上线，基本符合资源利用上线要求。</w:t>
            </w:r>
          </w:p>
          <w:p w14:paraId="7EDFA138">
            <w:pPr>
              <w:spacing w:line="360" w:lineRule="auto"/>
              <w:ind w:firstLine="480" w:firstLineChars="200"/>
              <w:rPr>
                <w:sz w:val="24"/>
              </w:rPr>
            </w:pPr>
            <w:r>
              <w:rPr>
                <w:sz w:val="24"/>
              </w:rPr>
              <w:t>（4）生态环境准入清单</w:t>
            </w:r>
          </w:p>
          <w:p w14:paraId="55758EEF">
            <w:pPr>
              <w:spacing w:line="360" w:lineRule="auto"/>
              <w:ind w:firstLine="480" w:firstLineChars="200"/>
              <w:rPr>
                <w:sz w:val="24"/>
              </w:rPr>
            </w:pPr>
            <w:r>
              <w:rPr>
                <w:sz w:val="24"/>
              </w:rPr>
              <w:t>根据《市场准入负面清单（2020年版）》，项目不属于禁止准入类和许可准入类产业；也不属于《新疆维吾尔自治区28个国家重点生态功能区县（市）产业准入负面清单（试行）》、《新疆维吾尔自治区17个新增纳入国家重点生态功能区县（市）产业准入负面清单（试行）》中限制类和禁止类产业，</w:t>
            </w:r>
            <w:r>
              <w:rPr>
                <w:rFonts w:hint="eastAsia"/>
                <w:sz w:val="24"/>
                <w:lang w:val="en-US" w:eastAsia="zh-CN"/>
              </w:rPr>
              <w:t>本项目符合《新疆生产建设兵团第四师生态环境准入清单（2023版）》要求，</w:t>
            </w:r>
            <w:r>
              <w:rPr>
                <w:sz w:val="24"/>
              </w:rPr>
              <w:t>项目建设符合要求。</w:t>
            </w:r>
          </w:p>
          <w:p w14:paraId="67F14685">
            <w:pPr>
              <w:keepNext w:val="0"/>
              <w:keepLines w:val="0"/>
              <w:pageBreakBefore w:val="0"/>
              <w:widowControl w:val="0"/>
              <w:shd w:val="clear" w:color="auto" w:fill="auto"/>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sz w:val="24"/>
              </w:rPr>
              <w:t>综上所述，本项目建设符合“三线一单”要求。</w:t>
            </w:r>
          </w:p>
          <w:p w14:paraId="20BB1A2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 xml:space="preserve">4 </w:t>
            </w:r>
            <w:r>
              <w:rPr>
                <w:rFonts w:hint="default" w:ascii="Times New Roman" w:hAnsi="Times New Roman" w:eastAsia="宋体" w:cs="Times New Roman"/>
                <w:b/>
                <w:bCs/>
                <w:color w:val="auto"/>
                <w:kern w:val="44"/>
                <w:sz w:val="24"/>
                <w:szCs w:val="24"/>
                <w:highlight w:val="none"/>
                <w:lang w:val="en-US" w:eastAsia="zh-CN"/>
              </w:rPr>
              <w:t>与《第四师可克达拉市“三线一单”生态环境分区管控方案》符合性分析</w:t>
            </w:r>
          </w:p>
          <w:p w14:paraId="4A74AC4B">
            <w:pPr>
              <w:autoSpaceDE w:val="0"/>
              <w:autoSpaceDN w:val="0"/>
              <w:adjustRightInd w:val="0"/>
              <w:snapToGrid w:val="0"/>
              <w:spacing w:line="360" w:lineRule="auto"/>
              <w:ind w:firstLine="480" w:firstLineChars="200"/>
              <w:rPr>
                <w:kern w:val="0"/>
                <w:sz w:val="24"/>
              </w:rPr>
            </w:pPr>
            <w:r>
              <w:rPr>
                <w:kern w:val="0"/>
                <w:sz w:val="24"/>
              </w:rPr>
              <w:t>对照</w:t>
            </w:r>
            <w:r>
              <w:rPr>
                <w:rFonts w:hint="eastAsia"/>
                <w:kern w:val="0"/>
                <w:sz w:val="24"/>
                <w:lang w:eastAsia="zh-CN"/>
              </w:rPr>
              <w:t>《新疆生产建设兵团</w:t>
            </w:r>
            <w:r>
              <w:rPr>
                <w:rFonts w:hint="eastAsia"/>
                <w:kern w:val="0"/>
                <w:sz w:val="24"/>
                <w:lang w:val="en-US" w:eastAsia="zh-CN"/>
              </w:rPr>
              <w:t>第四师</w:t>
            </w:r>
            <w:r>
              <w:rPr>
                <w:rFonts w:hint="eastAsia"/>
                <w:kern w:val="0"/>
                <w:sz w:val="24"/>
                <w:lang w:eastAsia="zh-CN"/>
              </w:rPr>
              <w:t>2023年度生态环境分区管控动态更新成果》</w:t>
            </w:r>
            <w:r>
              <w:rPr>
                <w:kern w:val="0"/>
                <w:sz w:val="24"/>
              </w:rPr>
              <w:t>，项目“三线一单”相符性如下：</w:t>
            </w:r>
          </w:p>
          <w:p w14:paraId="21096DBC">
            <w:pPr>
              <w:autoSpaceDE w:val="0"/>
              <w:autoSpaceDN w:val="0"/>
              <w:adjustRightInd w:val="0"/>
              <w:snapToGrid w:val="0"/>
              <w:spacing w:line="360" w:lineRule="auto"/>
              <w:ind w:firstLine="480" w:firstLineChars="200"/>
              <w:rPr>
                <w:kern w:val="0"/>
                <w:sz w:val="24"/>
              </w:rPr>
            </w:pPr>
            <w:r>
              <w:rPr>
                <w:kern w:val="0"/>
                <w:sz w:val="24"/>
              </w:rPr>
              <w:t>（1）与生态保护红线的相符性</w:t>
            </w:r>
          </w:p>
          <w:p w14:paraId="223878CD">
            <w:pPr>
              <w:autoSpaceDE w:val="0"/>
              <w:autoSpaceDN w:val="0"/>
              <w:adjustRightInd w:val="0"/>
              <w:snapToGrid w:val="0"/>
              <w:spacing w:line="360" w:lineRule="auto"/>
              <w:ind w:firstLine="480" w:firstLineChars="200"/>
              <w:rPr>
                <w:kern w:val="0"/>
                <w:sz w:val="24"/>
              </w:rPr>
            </w:pPr>
            <w:r>
              <w:rPr>
                <w:kern w:val="0"/>
                <w:sz w:val="24"/>
              </w:rPr>
              <w:t>文件要求：按照“生态功能不降低、面积不减少、性质不改变”的基本要求，对划定的生态保护红线实施严格管控，保障和维护师市生态安全的底线和生命线。</w:t>
            </w:r>
          </w:p>
          <w:p w14:paraId="1FCB17B6">
            <w:pPr>
              <w:autoSpaceDE w:val="0"/>
              <w:autoSpaceDN w:val="0"/>
              <w:adjustRightInd w:val="0"/>
              <w:snapToGrid w:val="0"/>
              <w:spacing w:line="360" w:lineRule="auto"/>
              <w:ind w:firstLine="480" w:firstLineChars="200"/>
              <w:rPr>
                <w:kern w:val="0"/>
                <w:sz w:val="24"/>
              </w:rPr>
            </w:pPr>
            <w:r>
              <w:rPr>
                <w:kern w:val="0"/>
                <w:sz w:val="24"/>
              </w:rPr>
              <w:t>经核实，本项目不涉及生态保护红线，不会影响所在区域内生态功能。</w:t>
            </w:r>
          </w:p>
          <w:p w14:paraId="238FD0F3">
            <w:pPr>
              <w:autoSpaceDE w:val="0"/>
              <w:autoSpaceDN w:val="0"/>
              <w:adjustRightInd w:val="0"/>
              <w:snapToGrid w:val="0"/>
              <w:spacing w:line="360" w:lineRule="auto"/>
              <w:ind w:firstLine="480" w:firstLineChars="200"/>
              <w:rPr>
                <w:kern w:val="0"/>
                <w:sz w:val="24"/>
              </w:rPr>
            </w:pPr>
            <w:r>
              <w:rPr>
                <w:kern w:val="0"/>
                <w:sz w:val="24"/>
              </w:rPr>
              <w:t>（2）与环境质量底线的相符性</w:t>
            </w:r>
          </w:p>
          <w:p w14:paraId="76DBE94E">
            <w:pPr>
              <w:autoSpaceDE w:val="0"/>
              <w:autoSpaceDN w:val="0"/>
              <w:adjustRightInd w:val="0"/>
              <w:snapToGrid w:val="0"/>
              <w:spacing w:line="360" w:lineRule="auto"/>
              <w:ind w:firstLine="480" w:firstLineChars="200"/>
              <w:rPr>
                <w:rFonts w:ascii="Times New Roman" w:hAnsi="Times New Roman" w:eastAsia="宋体" w:cs="Times New Roman"/>
                <w:kern w:val="0"/>
                <w:sz w:val="24"/>
              </w:rPr>
            </w:pPr>
            <w:r>
              <w:rPr>
                <w:kern w:val="0"/>
                <w:sz w:val="24"/>
              </w:rPr>
              <w:t>文件要求：师市河流、湖库、水源地水质总体保持稳定，饮用水安全保障水平持续提升，水生态环境状况继续好转。可克达拉市优良断面比例达到100%，特克斯河昭苏戍边桥断面、喀什河种蜂场断面、伊犁河霍城63团伊犁河大桥断面、霍尔果斯河中哈会晤处断面和霍尔果斯河63团边防连断面水质保持Ⅱ类标准，切德克河石头桥断面水质保持Ⅲ类标准。环境空气质量稳步提升，重污染天数持续减少。土壤环境质量保持稳定，农用地和建设用地土壤环境安全得到有效保障，土壤环境风险得到有效管控。受污染耕地安全利用率达到93%以上，污染地</w:t>
            </w:r>
            <w:r>
              <w:rPr>
                <w:rFonts w:ascii="Times New Roman" w:hAnsi="Times New Roman" w:eastAsia="宋体" w:cs="Times New Roman"/>
                <w:kern w:val="0"/>
                <w:sz w:val="24"/>
              </w:rPr>
              <w:t>块安全利用率达到93%以上。</w:t>
            </w:r>
          </w:p>
          <w:p w14:paraId="227D8044">
            <w:pPr>
              <w:spacing w:line="360" w:lineRule="auto"/>
              <w:ind w:firstLine="480" w:firstLineChars="200"/>
            </w:pPr>
            <w:r>
              <w:rPr>
                <w:color w:val="auto"/>
                <w:sz w:val="24"/>
              </w:rPr>
              <w:t>本项目营运期产生的废气主要</w:t>
            </w:r>
            <w:r>
              <w:rPr>
                <w:rFonts w:hint="eastAsia"/>
                <w:color w:val="auto"/>
                <w:sz w:val="24"/>
                <w:lang w:val="en-US" w:eastAsia="zh-CN"/>
              </w:rPr>
              <w:t>为切割产生的粉尘、废油液抽取过程产生的非甲烷总烃。粉尘采用集气罩+布袋除尘组合技术</w:t>
            </w:r>
            <w:r>
              <w:rPr>
                <w:rFonts w:hint="eastAsia"/>
                <w:color w:val="auto"/>
                <w:sz w:val="24"/>
                <w:highlight w:val="none"/>
                <w:lang w:val="en-US" w:eastAsia="zh-CN"/>
              </w:rPr>
              <w:t>，处理后达标排放，废油液抽取过程产生的非甲烷总烃采用活性炭吸附处理。</w:t>
            </w:r>
            <w:r>
              <w:rPr>
                <w:color w:val="auto"/>
                <w:sz w:val="24"/>
                <w:highlight w:val="none"/>
              </w:rPr>
              <w:t>项目</w:t>
            </w:r>
            <w:r>
              <w:rPr>
                <w:rFonts w:hint="eastAsia"/>
                <w:color w:val="auto"/>
                <w:sz w:val="24"/>
                <w:highlight w:val="none"/>
              </w:rPr>
              <w:t>生产废</w:t>
            </w:r>
            <w:r>
              <w:rPr>
                <w:rFonts w:hint="eastAsia"/>
                <w:color w:val="auto"/>
                <w:sz w:val="24"/>
                <w:highlight w:val="none"/>
                <w:lang w:val="en-US" w:eastAsia="zh-CN"/>
              </w:rPr>
              <w:t>水经油水分离器处理后和生活污水排入项目区内排水管网排入68团污水处理厂</w:t>
            </w:r>
            <w:r>
              <w:rPr>
                <w:color w:val="auto"/>
                <w:sz w:val="24"/>
                <w:highlight w:val="none"/>
              </w:rPr>
              <w:t>；</w:t>
            </w:r>
            <w:r>
              <w:rPr>
                <w:rFonts w:hint="eastAsia"/>
                <w:color w:val="auto"/>
                <w:sz w:val="24"/>
                <w:highlight w:val="none"/>
                <w:lang w:val="en-US" w:eastAsia="zh-CN"/>
              </w:rPr>
              <w:t>可回收利用固废销售给其</w:t>
            </w:r>
            <w:r>
              <w:rPr>
                <w:rFonts w:hint="eastAsia"/>
                <w:color w:val="auto"/>
                <w:sz w:val="24"/>
                <w:lang w:val="en-US" w:eastAsia="zh-CN"/>
              </w:rPr>
              <w:t>他再生资源加工厂做生产原料，不可回收利用固废由建设单位委托公司回收，</w:t>
            </w:r>
            <w:r>
              <w:rPr>
                <w:rFonts w:hint="default"/>
                <w:color w:val="auto"/>
                <w:sz w:val="24"/>
                <w:lang w:val="en-US" w:eastAsia="zh-CN"/>
              </w:rPr>
              <w:t>生活垃圾收集后暂存在垃圾箱中，定期拉运至附近的生活垃圾集中收集点，由环卫部门定期统一清运至</w:t>
            </w:r>
            <w:r>
              <w:rPr>
                <w:rFonts w:hint="eastAsia"/>
                <w:color w:val="auto"/>
                <w:sz w:val="24"/>
                <w:lang w:val="en-US" w:eastAsia="zh-CN"/>
              </w:rPr>
              <w:t>68</w:t>
            </w:r>
            <w:r>
              <w:rPr>
                <w:rFonts w:hint="default"/>
                <w:color w:val="auto"/>
                <w:sz w:val="24"/>
                <w:lang w:val="en-US" w:eastAsia="zh-CN"/>
              </w:rPr>
              <w:t>团生活垃圾填埋场</w:t>
            </w:r>
            <w:r>
              <w:rPr>
                <w:color w:val="auto"/>
                <w:sz w:val="24"/>
              </w:rPr>
              <w:t>。</w:t>
            </w:r>
            <w:r>
              <w:rPr>
                <w:rFonts w:hint="eastAsia"/>
                <w:color w:val="auto"/>
                <w:sz w:val="24"/>
                <w:lang w:val="en-US" w:eastAsia="zh-CN"/>
              </w:rPr>
              <w:t>项目</w:t>
            </w:r>
            <w:r>
              <w:rPr>
                <w:color w:val="auto"/>
                <w:sz w:val="24"/>
              </w:rPr>
              <w:t>不会突破环境质量底线。</w:t>
            </w:r>
          </w:p>
          <w:p w14:paraId="7E0E35EE">
            <w:pPr>
              <w:autoSpaceDE w:val="0"/>
              <w:autoSpaceDN w:val="0"/>
              <w:adjustRightInd w:val="0"/>
              <w:snapToGrid w:val="0"/>
              <w:spacing w:line="360" w:lineRule="auto"/>
              <w:ind w:firstLine="480" w:firstLineChars="200"/>
              <w:rPr>
                <w:kern w:val="0"/>
                <w:sz w:val="24"/>
              </w:rPr>
            </w:pPr>
            <w:r>
              <w:rPr>
                <w:kern w:val="0"/>
                <w:sz w:val="24"/>
              </w:rPr>
              <w:t>（3）与资源利用上线的相符性</w:t>
            </w:r>
          </w:p>
          <w:p w14:paraId="03967AFE">
            <w:pPr>
              <w:autoSpaceDE w:val="0"/>
              <w:autoSpaceDN w:val="0"/>
              <w:adjustRightInd w:val="0"/>
              <w:snapToGrid w:val="0"/>
              <w:spacing w:line="360" w:lineRule="auto"/>
              <w:ind w:firstLine="480" w:firstLineChars="200"/>
              <w:rPr>
                <w:kern w:val="0"/>
                <w:sz w:val="24"/>
              </w:rPr>
            </w:pPr>
            <w:r>
              <w:rPr>
                <w:kern w:val="0"/>
                <w:sz w:val="24"/>
              </w:rPr>
              <w:t>文件要求：强化节约集约利用，持续提升资源能源利用效率，水资源、土地资源、能源消耗等达到国家、兵团下达的总量和强度控制目标。加快区域低碳发展，积极推动低碳试点建设，发挥低碳试点示范引领作用。</w:t>
            </w:r>
          </w:p>
          <w:p w14:paraId="10E3B7D7">
            <w:pPr>
              <w:pStyle w:val="23"/>
              <w:spacing w:after="0" w:line="360" w:lineRule="auto"/>
              <w:ind w:left="0" w:leftChars="0" w:firstLine="480" w:firstLineChars="200"/>
              <w:jc w:val="left"/>
              <w:rPr>
                <w:kern w:val="0"/>
                <w:sz w:val="24"/>
              </w:rPr>
            </w:pPr>
            <w:r>
              <w:rPr>
                <w:color w:val="auto"/>
                <w:sz w:val="24"/>
                <w:szCs w:val="24"/>
              </w:rPr>
              <w:t>本项目用水由</w:t>
            </w:r>
            <w:r>
              <w:rPr>
                <w:rFonts w:hint="eastAsia"/>
                <w:color w:val="auto"/>
                <w:sz w:val="24"/>
                <w:szCs w:val="24"/>
                <w:lang w:val="en-US" w:eastAsia="zh-CN"/>
              </w:rPr>
              <w:t>市政给水管网</w:t>
            </w:r>
            <w:r>
              <w:rPr>
                <w:color w:val="auto"/>
                <w:sz w:val="24"/>
                <w:szCs w:val="24"/>
              </w:rPr>
              <w:t>供给，厂内用水量较小，项目用电由当地电网提供；项目建设利用</w:t>
            </w:r>
            <w:r>
              <w:rPr>
                <w:rFonts w:hint="eastAsia"/>
                <w:color w:val="auto"/>
                <w:sz w:val="24"/>
                <w:szCs w:val="24"/>
                <w:lang w:val="en-US" w:eastAsia="zh-CN"/>
              </w:rPr>
              <w:t>68</w:t>
            </w:r>
            <w:r>
              <w:rPr>
                <w:rFonts w:hint="eastAsia"/>
                <w:color w:val="auto"/>
                <w:sz w:val="24"/>
                <w:szCs w:val="24"/>
              </w:rPr>
              <w:t>团</w:t>
            </w:r>
            <w:r>
              <w:rPr>
                <w:color w:val="auto"/>
                <w:sz w:val="24"/>
                <w:szCs w:val="24"/>
              </w:rPr>
              <w:t>的</w:t>
            </w:r>
            <w:r>
              <w:rPr>
                <w:rFonts w:hint="eastAsia"/>
                <w:color w:val="auto"/>
                <w:sz w:val="24"/>
                <w:szCs w:val="24"/>
                <w:lang w:val="en-US" w:eastAsia="zh-CN"/>
              </w:rPr>
              <w:t>工业</w:t>
            </w:r>
            <w:r>
              <w:rPr>
                <w:color w:val="auto"/>
                <w:sz w:val="24"/>
                <w:szCs w:val="24"/>
              </w:rPr>
              <w:t>用地，不占用耕地，土地资源消耗符合要求。项目总体上不会突破资源利用上</w:t>
            </w:r>
            <w:r>
              <w:rPr>
                <w:rFonts w:hint="eastAsia"/>
                <w:color w:val="auto"/>
                <w:sz w:val="24"/>
                <w:szCs w:val="24"/>
                <w:lang w:val="en-US" w:eastAsia="zh-CN"/>
              </w:rPr>
              <w:t>限</w:t>
            </w:r>
            <w:r>
              <w:rPr>
                <w:color w:val="auto"/>
                <w:sz w:val="24"/>
                <w:szCs w:val="24"/>
              </w:rPr>
              <w:t>。</w:t>
            </w:r>
          </w:p>
          <w:p w14:paraId="4702A490">
            <w:pPr>
              <w:autoSpaceDE w:val="0"/>
              <w:autoSpaceDN w:val="0"/>
              <w:adjustRightInd w:val="0"/>
              <w:snapToGrid w:val="0"/>
              <w:spacing w:line="360" w:lineRule="auto"/>
              <w:ind w:firstLine="480" w:firstLineChars="200"/>
              <w:rPr>
                <w:color w:val="auto"/>
                <w:kern w:val="0"/>
                <w:sz w:val="24"/>
              </w:rPr>
            </w:pPr>
            <w:r>
              <w:rPr>
                <w:kern w:val="0"/>
                <w:sz w:val="24"/>
              </w:rPr>
              <w:t>（</w:t>
            </w:r>
            <w:r>
              <w:rPr>
                <w:color w:val="auto"/>
                <w:kern w:val="0"/>
                <w:sz w:val="24"/>
              </w:rPr>
              <w:t>4）与生态环境管控单元及生态环境准入清单的符合性</w:t>
            </w:r>
          </w:p>
          <w:p w14:paraId="09BF6225">
            <w:pPr>
              <w:autoSpaceDE w:val="0"/>
              <w:autoSpaceDN w:val="0"/>
              <w:adjustRightInd w:val="0"/>
              <w:snapToGrid w:val="0"/>
              <w:spacing w:line="360" w:lineRule="auto"/>
              <w:ind w:firstLine="480" w:firstLineChars="200"/>
              <w:rPr>
                <w:color w:val="auto"/>
                <w:kern w:val="0"/>
                <w:sz w:val="24"/>
              </w:rPr>
            </w:pPr>
            <w:r>
              <w:rPr>
                <w:color w:val="auto"/>
                <w:kern w:val="0"/>
                <w:sz w:val="24"/>
              </w:rPr>
              <w:t>文件要求：师市共划定环境管控单元共</w:t>
            </w:r>
            <w:r>
              <w:rPr>
                <w:rFonts w:hint="eastAsia"/>
                <w:color w:val="auto"/>
                <w:kern w:val="0"/>
                <w:sz w:val="24"/>
                <w:lang w:val="en-US" w:eastAsia="zh-CN"/>
              </w:rPr>
              <w:t>108</w:t>
            </w:r>
            <w:r>
              <w:rPr>
                <w:color w:val="auto"/>
                <w:kern w:val="0"/>
                <w:sz w:val="24"/>
              </w:rPr>
              <w:t>个，分为优先保护单元、重点管控单元、一般管控单元三大类。</w:t>
            </w:r>
          </w:p>
          <w:p w14:paraId="33E1AF8D">
            <w:pPr>
              <w:autoSpaceDE w:val="0"/>
              <w:autoSpaceDN w:val="0"/>
              <w:adjustRightInd w:val="0"/>
              <w:snapToGrid w:val="0"/>
              <w:spacing w:line="360" w:lineRule="auto"/>
              <w:ind w:firstLine="480" w:firstLineChars="200"/>
              <w:rPr>
                <w:color w:val="auto"/>
                <w:kern w:val="0"/>
                <w:sz w:val="24"/>
              </w:rPr>
            </w:pPr>
            <w:r>
              <w:rPr>
                <w:color w:val="auto"/>
                <w:kern w:val="0"/>
                <w:sz w:val="24"/>
              </w:rPr>
              <w:t>优先保护单元</w:t>
            </w:r>
            <w:r>
              <w:rPr>
                <w:rFonts w:hint="eastAsia"/>
                <w:color w:val="auto"/>
                <w:kern w:val="0"/>
                <w:sz w:val="24"/>
                <w:lang w:val="en-US" w:eastAsia="zh-CN"/>
              </w:rPr>
              <w:t>44</w:t>
            </w:r>
            <w:r>
              <w:rPr>
                <w:color w:val="auto"/>
                <w:kern w:val="0"/>
                <w:sz w:val="24"/>
              </w:rPr>
              <w:t>个，占师市总面积的</w:t>
            </w:r>
            <w:r>
              <w:rPr>
                <w:rFonts w:hint="eastAsia"/>
                <w:color w:val="auto"/>
                <w:kern w:val="0"/>
                <w:sz w:val="24"/>
                <w:lang w:val="en-US" w:eastAsia="zh-CN"/>
              </w:rPr>
              <w:t>40.7</w:t>
            </w:r>
            <w:r>
              <w:rPr>
                <w:color w:val="auto"/>
                <w:kern w:val="0"/>
                <w:sz w:val="24"/>
              </w:rPr>
              <w:t>%。主要包括生态保护红线、一般生态空间，水环境优先保护区，环境空气一类功能区等区域。该区域以生态环境保护优先为原则，开发建设活动应严格执行相关法律、法规要求，严守生态环境质量底线，确保生态功能不降低。</w:t>
            </w:r>
          </w:p>
          <w:p w14:paraId="67A06EA6">
            <w:pPr>
              <w:autoSpaceDE w:val="0"/>
              <w:autoSpaceDN w:val="0"/>
              <w:adjustRightInd w:val="0"/>
              <w:snapToGrid w:val="0"/>
              <w:spacing w:line="360" w:lineRule="auto"/>
              <w:ind w:firstLine="480" w:firstLineChars="200"/>
              <w:rPr>
                <w:color w:val="auto"/>
                <w:kern w:val="0"/>
                <w:sz w:val="24"/>
              </w:rPr>
            </w:pPr>
            <w:r>
              <w:rPr>
                <w:color w:val="auto"/>
                <w:kern w:val="0"/>
                <w:sz w:val="24"/>
              </w:rPr>
              <w:t>重点管控单元</w:t>
            </w:r>
            <w:r>
              <w:rPr>
                <w:rFonts w:hint="eastAsia"/>
                <w:color w:val="auto"/>
                <w:kern w:val="0"/>
                <w:sz w:val="24"/>
                <w:lang w:val="en-US" w:eastAsia="zh-CN"/>
              </w:rPr>
              <w:t>48</w:t>
            </w:r>
            <w:r>
              <w:rPr>
                <w:color w:val="auto"/>
                <w:kern w:val="0"/>
                <w:sz w:val="24"/>
              </w:rPr>
              <w:t>个，占师市总面积的</w:t>
            </w:r>
            <w:r>
              <w:rPr>
                <w:rFonts w:hint="eastAsia"/>
                <w:color w:val="auto"/>
                <w:kern w:val="0"/>
                <w:sz w:val="24"/>
                <w:lang w:val="en-US" w:eastAsia="zh-CN"/>
              </w:rPr>
              <w:t>44.4</w:t>
            </w:r>
            <w:r>
              <w:rPr>
                <w:color w:val="auto"/>
                <w:kern w:val="0"/>
                <w:sz w:val="24"/>
              </w:rPr>
              <w:t>%。主要包括可克达拉市市区和各团部区域、霍尔果斯经济开发区兵团分区、可克达拉经济技术开发区和开发强度大、污染物排放强度高及存在环境风险的其他区域。该区域应优化空间布局，加强污染物排放控制和环境风险防控，不断提升资源利用效率，重点解决突出生态环境问题，切实推动生态环境质量持续改善。</w:t>
            </w:r>
          </w:p>
          <w:p w14:paraId="25E89239">
            <w:pPr>
              <w:autoSpaceDE w:val="0"/>
              <w:autoSpaceDN w:val="0"/>
              <w:adjustRightInd w:val="0"/>
              <w:snapToGrid w:val="0"/>
              <w:spacing w:line="360" w:lineRule="auto"/>
              <w:ind w:firstLine="480" w:firstLineChars="200"/>
              <w:rPr>
                <w:color w:val="auto"/>
                <w:kern w:val="0"/>
                <w:sz w:val="24"/>
              </w:rPr>
            </w:pPr>
            <w:r>
              <w:rPr>
                <w:color w:val="auto"/>
                <w:kern w:val="0"/>
                <w:sz w:val="24"/>
              </w:rPr>
              <w:t>一般管控单元共</w:t>
            </w:r>
            <w:r>
              <w:rPr>
                <w:rFonts w:hint="eastAsia"/>
                <w:color w:val="auto"/>
                <w:kern w:val="0"/>
                <w:sz w:val="24"/>
                <w:lang w:val="en-US" w:eastAsia="zh-CN"/>
              </w:rPr>
              <w:t>16</w:t>
            </w:r>
            <w:r>
              <w:rPr>
                <w:color w:val="auto"/>
                <w:kern w:val="0"/>
                <w:sz w:val="24"/>
              </w:rPr>
              <w:t>个，占师市总面积的1</w:t>
            </w:r>
            <w:r>
              <w:rPr>
                <w:rFonts w:hint="eastAsia"/>
                <w:color w:val="auto"/>
                <w:kern w:val="0"/>
                <w:sz w:val="24"/>
                <w:lang w:val="en-US" w:eastAsia="zh-CN"/>
              </w:rPr>
              <w:t>4.9</w:t>
            </w:r>
            <w:r>
              <w:rPr>
                <w:color w:val="auto"/>
                <w:kern w:val="0"/>
                <w:sz w:val="24"/>
              </w:rPr>
              <w:t>%。主要指优先保护单元和重点管控单元之外的区域。该区域以经济社会可持续发展为导向，生态环境保护与适度开发相结合，开发建设应落实现行生态环境保护基本要求。</w:t>
            </w:r>
          </w:p>
          <w:p w14:paraId="5A69B8DA">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kern w:val="0"/>
                <w:sz w:val="24"/>
              </w:rPr>
              <w:t>本项目位于第四师</w:t>
            </w:r>
            <w:r>
              <w:rPr>
                <w:rFonts w:hint="eastAsia"/>
                <w:kern w:val="0"/>
                <w:sz w:val="24"/>
                <w:lang w:val="en-US" w:eastAsia="zh-CN"/>
              </w:rPr>
              <w:t>可克达拉市6</w:t>
            </w:r>
            <w:r>
              <w:rPr>
                <w:rFonts w:hint="eastAsia" w:ascii="Times New Roman" w:hAnsi="Times New Roman" w:eastAsia="宋体" w:cs="Times New Roman"/>
                <w:color w:val="auto"/>
                <w:kern w:val="0"/>
                <w:sz w:val="24"/>
                <w:lang w:val="en-US" w:eastAsia="zh-CN"/>
              </w:rPr>
              <w:t>8团5连</w:t>
            </w:r>
            <w:r>
              <w:rPr>
                <w:rFonts w:ascii="Times New Roman" w:hAnsi="Times New Roman" w:eastAsia="宋体" w:cs="Times New Roman"/>
                <w:color w:val="auto"/>
                <w:kern w:val="0"/>
                <w:sz w:val="24"/>
              </w:rPr>
              <w:t>，对照《第四师可克达拉市“三线一单”生态环境分区管控方案》（</w:t>
            </w:r>
            <w:r>
              <w:rPr>
                <w:rFonts w:hint="eastAsia" w:ascii="Times New Roman" w:hAnsi="Times New Roman" w:eastAsia="宋体" w:cs="Times New Roman"/>
                <w:color w:val="auto"/>
                <w:kern w:val="0"/>
                <w:sz w:val="24"/>
                <w:lang w:val="en-US" w:eastAsia="zh-CN"/>
              </w:rPr>
              <w:t>2023版</w:t>
            </w:r>
            <w:r>
              <w:rPr>
                <w:rFonts w:ascii="Times New Roman" w:hAnsi="Times New Roman" w:eastAsia="宋体" w:cs="Times New Roman"/>
                <w:color w:val="auto"/>
                <w:kern w:val="0"/>
                <w:sz w:val="24"/>
              </w:rPr>
              <w:t>），本项目属于可克达拉市</w:t>
            </w:r>
            <w:r>
              <w:rPr>
                <w:rFonts w:hint="eastAsia" w:ascii="Times New Roman" w:hAnsi="Times New Roman" w:eastAsia="宋体" w:cs="Times New Roman"/>
                <w:color w:val="auto"/>
                <w:kern w:val="0"/>
                <w:sz w:val="24"/>
                <w:lang w:val="en-US" w:eastAsia="zh-CN"/>
              </w:rPr>
              <w:t>68</w:t>
            </w:r>
            <w:r>
              <w:rPr>
                <w:rFonts w:ascii="Times New Roman" w:hAnsi="Times New Roman" w:eastAsia="宋体" w:cs="Times New Roman"/>
                <w:color w:val="auto"/>
                <w:kern w:val="0"/>
                <w:sz w:val="24"/>
              </w:rPr>
              <w:t>团重点管控单元，环境管控单元编码为ZH65900820012。具体</w:t>
            </w:r>
            <w:r>
              <w:rPr>
                <w:kern w:val="0"/>
                <w:sz w:val="24"/>
              </w:rPr>
              <w:t>管控要求见下表。</w:t>
            </w:r>
          </w:p>
          <w:p w14:paraId="464BED07">
            <w:pPr>
              <w:rPr>
                <w:rFonts w:hint="eastAsia" w:ascii="Times New Roman" w:hAnsi="Times New Roman" w:eastAsia="宋体" w:cs="Times New Roman"/>
                <w:color w:val="auto"/>
                <w:kern w:val="2"/>
                <w:sz w:val="24"/>
                <w:szCs w:val="22"/>
                <w:highlight w:val="none"/>
                <w:lang w:val="en-US" w:eastAsia="zh-CN" w:bidi="ar-SA"/>
              </w:rPr>
            </w:pPr>
            <w:r>
              <w:rPr>
                <w:b/>
                <w:color w:val="auto"/>
                <w:sz w:val="24"/>
                <w:szCs w:val="24"/>
                <w:highlight w:val="none"/>
              </w:rPr>
              <w:t>表</w:t>
            </w:r>
            <w:r>
              <w:rPr>
                <w:rFonts w:hint="eastAsia"/>
                <w:b/>
                <w:color w:val="auto"/>
                <w:sz w:val="24"/>
                <w:szCs w:val="24"/>
                <w:highlight w:val="none"/>
                <w:lang w:val="en-US" w:eastAsia="zh-CN"/>
              </w:rPr>
              <w:t>1</w:t>
            </w:r>
            <w:r>
              <w:rPr>
                <w:b/>
                <w:color w:val="auto"/>
                <w:sz w:val="24"/>
                <w:szCs w:val="24"/>
                <w:highlight w:val="none"/>
              </w:rPr>
              <w:t>-</w:t>
            </w:r>
            <w:r>
              <w:rPr>
                <w:rFonts w:hint="eastAsia"/>
                <w:b/>
                <w:color w:val="auto"/>
                <w:sz w:val="24"/>
                <w:szCs w:val="24"/>
                <w:highlight w:val="none"/>
                <w:lang w:val="en-US" w:eastAsia="zh-CN"/>
              </w:rPr>
              <w:t>1与</w:t>
            </w:r>
            <w:r>
              <w:rPr>
                <w:rFonts w:hint="default"/>
                <w:b/>
                <w:color w:val="auto"/>
                <w:sz w:val="24"/>
                <w:szCs w:val="24"/>
                <w:highlight w:val="none"/>
              </w:rPr>
              <w:t>《第四师可克达拉市“三线一单”生态环境分区管控方案》</w:t>
            </w:r>
            <w:r>
              <w:rPr>
                <w:rFonts w:hint="eastAsia"/>
                <w:b/>
                <w:color w:val="auto"/>
                <w:sz w:val="24"/>
                <w:szCs w:val="24"/>
                <w:highlight w:val="none"/>
                <w:lang w:val="en-US" w:eastAsia="zh-CN"/>
              </w:rPr>
              <w:t>符合性分析</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3076"/>
              <w:gridCol w:w="2648"/>
              <w:gridCol w:w="709"/>
            </w:tblGrid>
            <w:tr w14:paraId="1833D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36008DFB">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环境管控单元编码</w:t>
                  </w:r>
                </w:p>
              </w:tc>
              <w:tc>
                <w:tcPr>
                  <w:tcW w:w="1883" w:type="pct"/>
                  <w:tcBorders>
                    <w:tl2br w:val="nil"/>
                    <w:tr2bl w:val="nil"/>
                  </w:tcBorders>
                  <w:noWrap w:val="0"/>
                  <w:vAlign w:val="center"/>
                </w:tcPr>
                <w:p w14:paraId="0DA8E6F1">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单元名称</w:t>
                  </w:r>
                </w:p>
              </w:tc>
              <w:tc>
                <w:tcPr>
                  <w:tcW w:w="2055" w:type="pct"/>
                  <w:gridSpan w:val="2"/>
                  <w:tcBorders>
                    <w:tl2br w:val="nil"/>
                    <w:tr2bl w:val="nil"/>
                  </w:tcBorders>
                  <w:noWrap w:val="0"/>
                  <w:vAlign w:val="center"/>
                </w:tcPr>
                <w:p w14:paraId="58A443DE">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单元分类</w:t>
                  </w:r>
                </w:p>
              </w:tc>
            </w:tr>
            <w:tr w14:paraId="5B407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6D36E730">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ZH65900820012</w:t>
                  </w:r>
                </w:p>
              </w:tc>
              <w:tc>
                <w:tcPr>
                  <w:tcW w:w="1883" w:type="pct"/>
                  <w:tcBorders>
                    <w:tl2br w:val="nil"/>
                    <w:tr2bl w:val="nil"/>
                  </w:tcBorders>
                  <w:noWrap w:val="0"/>
                  <w:vAlign w:val="center"/>
                </w:tcPr>
                <w:p w14:paraId="09961775">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六十八团</w:t>
                  </w:r>
                </w:p>
              </w:tc>
              <w:tc>
                <w:tcPr>
                  <w:tcW w:w="2055" w:type="pct"/>
                  <w:gridSpan w:val="2"/>
                  <w:tcBorders>
                    <w:tl2br w:val="nil"/>
                    <w:tr2bl w:val="nil"/>
                  </w:tcBorders>
                  <w:noWrap w:val="0"/>
                  <w:vAlign w:val="center"/>
                </w:tcPr>
                <w:p w14:paraId="6D0FE7E8">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b w:val="0"/>
                      <w:bCs w:val="0"/>
                      <w:color w:val="auto"/>
                      <w:kern w:val="0"/>
                      <w:sz w:val="21"/>
                      <w:szCs w:val="21"/>
                      <w:highlight w:val="none"/>
                      <w:lang w:val="en-US" w:eastAsia="zh-CN"/>
                    </w:rPr>
                    <w:t>重点</w:t>
                  </w:r>
                  <w:r>
                    <w:rPr>
                      <w:rFonts w:hint="default" w:ascii="Times New Roman" w:hAnsi="Times New Roman" w:eastAsia="宋体" w:cs="Times New Roman"/>
                      <w:b w:val="0"/>
                      <w:bCs w:val="0"/>
                      <w:color w:val="auto"/>
                      <w:kern w:val="0"/>
                      <w:sz w:val="21"/>
                      <w:szCs w:val="21"/>
                      <w:highlight w:val="none"/>
                      <w:lang w:val="en-US" w:eastAsia="zh-CN"/>
                    </w:rPr>
                    <w:t>管控单元</w:t>
                  </w:r>
                </w:p>
              </w:tc>
            </w:tr>
            <w:tr w14:paraId="403BB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42BC2EF2">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管控维度</w:t>
                  </w:r>
                </w:p>
              </w:tc>
              <w:tc>
                <w:tcPr>
                  <w:tcW w:w="1883" w:type="pct"/>
                  <w:tcBorders>
                    <w:tl2br w:val="nil"/>
                    <w:tr2bl w:val="nil"/>
                  </w:tcBorders>
                  <w:noWrap w:val="0"/>
                  <w:vAlign w:val="center"/>
                </w:tcPr>
                <w:p w14:paraId="27C260ED">
                  <w:pPr>
                    <w:widowControl/>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rPr>
                    <w:t>管控要求</w:t>
                  </w:r>
                </w:p>
              </w:tc>
              <w:tc>
                <w:tcPr>
                  <w:tcW w:w="1621" w:type="pct"/>
                  <w:tcBorders>
                    <w:tl2br w:val="nil"/>
                    <w:tr2bl w:val="nil"/>
                  </w:tcBorders>
                  <w:noWrap w:val="0"/>
                  <w:vAlign w:val="center"/>
                </w:tcPr>
                <w:p w14:paraId="136AA66B">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本工程</w:t>
                  </w:r>
                </w:p>
              </w:tc>
              <w:tc>
                <w:tcPr>
                  <w:tcW w:w="434" w:type="pct"/>
                  <w:tcBorders>
                    <w:tl2br w:val="nil"/>
                    <w:tr2bl w:val="nil"/>
                  </w:tcBorders>
                  <w:noWrap w:val="0"/>
                  <w:vAlign w:val="center"/>
                </w:tcPr>
                <w:p w14:paraId="728B6F47">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符合性分析</w:t>
                  </w:r>
                </w:p>
              </w:tc>
            </w:tr>
            <w:tr w14:paraId="5C44F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3961F68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空间布局约束</w:t>
                  </w:r>
                </w:p>
              </w:tc>
              <w:tc>
                <w:tcPr>
                  <w:tcW w:w="1883" w:type="pct"/>
                  <w:tcBorders>
                    <w:tl2br w:val="nil"/>
                    <w:tr2bl w:val="nil"/>
                  </w:tcBorders>
                  <w:noWrap w:val="0"/>
                  <w:vAlign w:val="center"/>
                </w:tcPr>
                <w:p w14:paraId="08533E0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执行大气环境布局敏感区相关要求。（2）严格控制非农建设占用耕地，加大对土地整理复垦开发重点区域及重点工程、粮食主产区和基本农田保护区的投入。（3）禁止任何单位和个人在基本农田保护区内建窑、建房、建坟、挖砂采石、采矿、取土、堆放固体废弃物或者进行其他破坏基本农田的活动。（4）应避免大规模排放大气污染物的项目布局建设。</w:t>
                  </w:r>
                </w:p>
              </w:tc>
              <w:tc>
                <w:tcPr>
                  <w:tcW w:w="1621" w:type="pct"/>
                  <w:tcBorders>
                    <w:tl2br w:val="nil"/>
                    <w:tr2bl w:val="nil"/>
                  </w:tcBorders>
                  <w:noWrap w:val="0"/>
                  <w:vAlign w:val="center"/>
                </w:tcPr>
                <w:p w14:paraId="0AFFD12F">
                  <w:pPr>
                    <w:widowControl/>
                    <w:jc w:val="center"/>
                    <w:rPr>
                      <w:rFonts w:hint="default" w:ascii="Times New Roman" w:hAnsi="Times New Roman" w:eastAsia="宋体" w:cs="Times New Roman"/>
                      <w:color w:val="FF0000"/>
                      <w:kern w:val="0"/>
                      <w:sz w:val="21"/>
                      <w:szCs w:val="21"/>
                      <w:highlight w:val="none"/>
                      <w:lang w:val="en-US" w:eastAsia="zh-CN" w:bidi="ar-SA"/>
                    </w:rPr>
                  </w:pPr>
                  <w:r>
                    <w:rPr>
                      <w:rFonts w:hint="eastAsia"/>
                      <w:color w:val="auto"/>
                      <w:lang w:val="en-US" w:eastAsia="zh-CN"/>
                    </w:rPr>
                    <w:t>本项目为汽车拆解回收项目，位于68团5连，占地性质为工业用地。未占用基本农田和耕地，产生的危险废物由有资质单位收集处置，生活垃圾收集后，由环卫部门定期统一清运至68团生活垃圾填埋场。符合空间布局约束要求。本项目拆解过程产生的废气经集气罩+袋式除尘技术、非甲烷总烃经集气罩+活性炭吸附进行处理后排放</w:t>
                  </w:r>
                </w:p>
              </w:tc>
              <w:tc>
                <w:tcPr>
                  <w:tcW w:w="434" w:type="pct"/>
                  <w:tcBorders>
                    <w:tl2br w:val="nil"/>
                    <w:tr2bl w:val="nil"/>
                  </w:tcBorders>
                  <w:noWrap w:val="0"/>
                  <w:vAlign w:val="center"/>
                </w:tcPr>
                <w:p w14:paraId="73856902">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r w14:paraId="0984D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4557A3E5">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污染物排放管控</w:t>
                  </w:r>
                </w:p>
              </w:tc>
              <w:tc>
                <w:tcPr>
                  <w:tcW w:w="1883" w:type="pct"/>
                  <w:tcBorders>
                    <w:tl2br w:val="nil"/>
                    <w:tr2bl w:val="nil"/>
                  </w:tcBorders>
                  <w:noWrap w:val="0"/>
                  <w:vAlign w:val="center"/>
                </w:tcPr>
                <w:p w14:paraId="62C9B99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2）已有改扩建项目要提高节能环保准入门槛，实行大气污染物排放减量置换，实施区域内最严格的大气污染物排放标准。（3）已达到大气环境质量标准的地区，应当严格控制新增排放大气污染物项目大气污染物排放量。</w:t>
                  </w:r>
                </w:p>
              </w:tc>
              <w:tc>
                <w:tcPr>
                  <w:tcW w:w="1621" w:type="pct"/>
                  <w:tcBorders>
                    <w:tl2br w:val="nil"/>
                    <w:tr2bl w:val="nil"/>
                  </w:tcBorders>
                  <w:noWrap w:val="0"/>
                  <w:vAlign w:val="center"/>
                </w:tcPr>
                <w:p w14:paraId="5CDA8547">
                  <w:pPr>
                    <w:pStyle w:val="89"/>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本项目运营期颗粒物经集气罩+袋式除尘技术、非甲烷总烃经集气罩+活性炭吸附进行处理，排放废气执行</w:t>
                  </w:r>
                  <w:r>
                    <w:rPr>
                      <w:rFonts w:hint="default" w:ascii="Times New Roman" w:hAnsi="Times New Roman" w:eastAsia="宋体" w:cs="Times New Roman"/>
                      <w:color w:val="auto"/>
                      <w:kern w:val="0"/>
                      <w:sz w:val="21"/>
                      <w:szCs w:val="21"/>
                      <w:highlight w:val="none"/>
                      <w:lang w:val="en-US"/>
                    </w:rPr>
                    <w:t>《大气污染物综合排放标准》（GB16297-1996）表2中排放监控浓度限值标准</w:t>
                  </w:r>
                  <w:r>
                    <w:rPr>
                      <w:rFonts w:hint="eastAsia"/>
                      <w:color w:val="auto"/>
                      <w:lang w:val="en-US" w:eastAsia="zh-CN"/>
                    </w:rPr>
                    <w:t>，其中污染物颗粒物、VOCs实行总量控制。大气污染物处理及排放符合污染物排放管控要求。</w:t>
                  </w:r>
                </w:p>
              </w:tc>
              <w:tc>
                <w:tcPr>
                  <w:tcW w:w="434" w:type="pct"/>
                  <w:tcBorders>
                    <w:tl2br w:val="nil"/>
                    <w:tr2bl w:val="nil"/>
                  </w:tcBorders>
                  <w:noWrap w:val="0"/>
                  <w:vAlign w:val="center"/>
                </w:tcPr>
                <w:p w14:paraId="5B78725F">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r w14:paraId="74113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060" w:type="pct"/>
                  <w:tcBorders>
                    <w:tl2br w:val="nil"/>
                    <w:tr2bl w:val="nil"/>
                  </w:tcBorders>
                  <w:noWrap w:val="0"/>
                  <w:vAlign w:val="center"/>
                </w:tcPr>
                <w:p w14:paraId="6BD5E49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环境风险防控</w:t>
                  </w:r>
                </w:p>
              </w:tc>
              <w:tc>
                <w:tcPr>
                  <w:tcW w:w="1883" w:type="pct"/>
                  <w:tcBorders>
                    <w:tl2br w:val="nil"/>
                    <w:tr2bl w:val="nil"/>
                  </w:tcBorders>
                  <w:noWrap w:val="0"/>
                  <w:vAlign w:val="center"/>
                </w:tcPr>
                <w:p w14:paraId="71DC689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对耕地面积减少或土壤环境质量下降的团场要进行预警提醒，并依法采取环评限批等限制性措施。（2）对威胁地下水、饮用水水源安全的耕地，制定环境风险管控方案，并落实有关措施。（3）执行自治区重污染天气预警分级标准，同一区域内执行统一应急预警标准。当预测到区域将出现大范围重污染天气时，按照自治区统一发布预警信息，师市要按级别同步启动应急响应，落实应急措施，实施区域应急联动。</w:t>
                  </w:r>
                </w:p>
              </w:tc>
              <w:tc>
                <w:tcPr>
                  <w:tcW w:w="1621" w:type="pct"/>
                  <w:tcBorders>
                    <w:tl2br w:val="nil"/>
                    <w:tr2bl w:val="nil"/>
                  </w:tcBorders>
                  <w:noWrap w:val="0"/>
                  <w:vAlign w:val="center"/>
                </w:tcPr>
                <w:p w14:paraId="7627491F">
                  <w:pPr>
                    <w:widowControl/>
                    <w:jc w:val="center"/>
                    <w:rPr>
                      <w:rFonts w:hint="default" w:ascii="Times New Roman" w:hAnsi="Times New Roman" w:eastAsia="宋体" w:cs="Times New Roman"/>
                      <w:color w:val="FF0000"/>
                      <w:kern w:val="0"/>
                      <w:sz w:val="21"/>
                      <w:szCs w:val="21"/>
                      <w:highlight w:val="none"/>
                      <w:lang w:val="en-US" w:eastAsia="zh-CN" w:bidi="ar-SA"/>
                    </w:rPr>
                  </w:pPr>
                  <w:r>
                    <w:rPr>
                      <w:rFonts w:hint="eastAsia"/>
                      <w:color w:val="auto"/>
                    </w:rPr>
                    <w:t>项目用地为</w:t>
                  </w:r>
                  <w:r>
                    <w:rPr>
                      <w:rFonts w:hint="eastAsia"/>
                      <w:color w:val="auto"/>
                      <w:lang w:val="en-US" w:eastAsia="zh-CN"/>
                    </w:rPr>
                    <w:t>工业</w:t>
                  </w:r>
                  <w:r>
                    <w:rPr>
                      <w:rFonts w:hint="eastAsia"/>
                      <w:color w:val="auto"/>
                    </w:rPr>
                    <w:t>用地</w:t>
                  </w:r>
                  <w:r>
                    <w:rPr>
                      <w:rFonts w:hint="eastAsia"/>
                      <w:color w:val="auto"/>
                      <w:lang w:eastAsia="zh-CN"/>
                    </w:rPr>
                    <w:t>，</w:t>
                  </w:r>
                  <w:r>
                    <w:rPr>
                      <w:rFonts w:hint="eastAsia"/>
                      <w:color w:val="auto"/>
                      <w:lang w:val="en-US" w:eastAsia="zh-CN"/>
                    </w:rPr>
                    <w:t>建设和运营不会减少68团耕地面积，不会威胁当地土壤、地下水和饮用水的环境质量安全。</w:t>
                  </w:r>
                  <w:r>
                    <w:rPr>
                      <w:rFonts w:hint="eastAsia"/>
                      <w:lang w:val="en-US" w:eastAsia="zh-CN"/>
                    </w:rPr>
                    <w:t>本项目按照要求编制应急预案</w:t>
                  </w:r>
                </w:p>
              </w:tc>
              <w:tc>
                <w:tcPr>
                  <w:tcW w:w="434" w:type="pct"/>
                  <w:tcBorders>
                    <w:tl2br w:val="nil"/>
                    <w:tr2bl w:val="nil"/>
                  </w:tcBorders>
                  <w:noWrap w:val="0"/>
                  <w:vAlign w:val="center"/>
                </w:tcPr>
                <w:p w14:paraId="1011F11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r w14:paraId="2E843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60" w:type="pct"/>
                  <w:tcBorders>
                    <w:tl2br w:val="nil"/>
                    <w:tr2bl w:val="nil"/>
                  </w:tcBorders>
                  <w:noWrap w:val="0"/>
                  <w:vAlign w:val="center"/>
                </w:tcPr>
                <w:p w14:paraId="6BB5A40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资源开发效率要求</w:t>
                  </w:r>
                </w:p>
              </w:tc>
              <w:tc>
                <w:tcPr>
                  <w:tcW w:w="1883" w:type="pct"/>
                  <w:tcBorders>
                    <w:tl2br w:val="nil"/>
                    <w:tr2bl w:val="nil"/>
                  </w:tcBorders>
                  <w:noWrap w:val="0"/>
                  <w:vAlign w:val="center"/>
                </w:tcPr>
                <w:p w14:paraId="4A21672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推行秸秆还田、增施有机肥、少耕免耕、化肥农药减量等措施，切实保护耕地土壤环境质量。（2）推进规模化高效节水灌溉，推广农作物节水抗旱技术。发展以喷滴灌和渠道防渗为中心的节水农业。（3）通过政策补偿等措施，逐步推行以天然气或电替代煤炭。</w:t>
                  </w:r>
                </w:p>
              </w:tc>
              <w:tc>
                <w:tcPr>
                  <w:tcW w:w="1621" w:type="pct"/>
                  <w:tcBorders>
                    <w:tl2br w:val="nil"/>
                    <w:tr2bl w:val="nil"/>
                  </w:tcBorders>
                  <w:noWrap w:val="0"/>
                  <w:vAlign w:val="center"/>
                </w:tcPr>
                <w:p w14:paraId="36D96816">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本项目不会威胁当地土壤的环境质量安全，贯彻清洁生产，工艺先进，采用的生产工艺和生产装置均为节电节水设备，符合资源节约和综合利用要求。</w:t>
                  </w:r>
                </w:p>
              </w:tc>
              <w:tc>
                <w:tcPr>
                  <w:tcW w:w="434" w:type="pct"/>
                  <w:tcBorders>
                    <w:tl2br w:val="nil"/>
                    <w:tr2bl w:val="nil"/>
                  </w:tcBorders>
                  <w:noWrap w:val="0"/>
                  <w:vAlign w:val="center"/>
                </w:tcPr>
                <w:p w14:paraId="4EC27849">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符合</w:t>
                  </w:r>
                </w:p>
              </w:tc>
            </w:tr>
          </w:tbl>
          <w:p w14:paraId="5609F36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综上所述，本项目建设符合生态保护红线要求；符合环境质量底线要求；符合资源利用上线要求；同时本项目为国家产业政策允许建设项目，符合环境准入要求。因此项目符合“三线一单”管理要求</w:t>
            </w:r>
            <w:r>
              <w:rPr>
                <w:rFonts w:hint="eastAsia" w:ascii="Times New Roman" w:hAnsi="Times New Roman" w:eastAsia="宋体" w:cs="Times New Roman"/>
                <w:color w:val="auto"/>
                <w:sz w:val="24"/>
                <w:szCs w:val="24"/>
                <w:highlight w:val="none"/>
                <w:lang w:eastAsia="zh-CN"/>
              </w:rPr>
              <w:t>。</w:t>
            </w:r>
          </w:p>
          <w:p w14:paraId="78D622A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cs="Times New Roman"/>
                <w:b/>
                <w:bCs/>
                <w:color w:val="auto"/>
                <w:sz w:val="24"/>
                <w:szCs w:val="24"/>
                <w:highlight w:val="none"/>
                <w:lang w:val="en-US" w:eastAsia="zh-CN"/>
              </w:rPr>
              <w:t>5</w:t>
            </w:r>
            <w:r>
              <w:rPr>
                <w:rFonts w:hint="eastAsia" w:cs="Times New Roman"/>
                <w:b/>
                <w:bCs/>
                <w:color w:val="FF0000"/>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与</w:t>
            </w:r>
            <w:r>
              <w:rPr>
                <w:rFonts w:hint="eastAsia" w:cs="Times New Roman"/>
                <w:b/>
                <w:bCs/>
                <w:color w:val="auto"/>
                <w:sz w:val="24"/>
                <w:szCs w:val="24"/>
                <w:highlight w:val="none"/>
                <w:lang w:val="en-US" w:eastAsia="zh-CN"/>
              </w:rPr>
              <w:t>汽车回收利用政策以及汽车拆解规范的</w:t>
            </w:r>
            <w:r>
              <w:rPr>
                <w:rFonts w:hint="default" w:ascii="Times New Roman" w:hAnsi="Times New Roman" w:eastAsia="宋体" w:cs="Times New Roman"/>
                <w:b/>
                <w:bCs/>
                <w:color w:val="auto"/>
                <w:sz w:val="24"/>
                <w:szCs w:val="24"/>
                <w:highlight w:val="none"/>
              </w:rPr>
              <w:t>符合性分析</w:t>
            </w:r>
          </w:p>
          <w:p w14:paraId="104494A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报废汽车拆解项目的相关行业及环保规范主要为《报废机动车回收管理办法》、《汽车产品回收利用技术政策》、《报废</w:t>
            </w:r>
            <w:r>
              <w:rPr>
                <w:rFonts w:hint="eastAsia" w:cs="Times New Roman"/>
                <w:color w:val="auto"/>
                <w:sz w:val="24"/>
                <w:szCs w:val="24"/>
                <w:highlight w:val="none"/>
                <w:lang w:val="en-US" w:eastAsia="zh-CN"/>
              </w:rPr>
              <w:t>机动车</w:t>
            </w:r>
            <w:r>
              <w:rPr>
                <w:rFonts w:hint="eastAsia" w:ascii="Times New Roman" w:hAnsi="Times New Roman" w:cs="Times New Roman"/>
                <w:color w:val="auto"/>
                <w:sz w:val="24"/>
                <w:szCs w:val="24"/>
                <w:highlight w:val="none"/>
                <w:lang w:val="en-US" w:eastAsia="zh-CN"/>
              </w:rPr>
              <w:t>回收拆解企业技术规范》（GB22128-20</w:t>
            </w:r>
            <w:r>
              <w:rPr>
                <w:rFonts w:hint="eastAsia" w:cs="Times New Roman"/>
                <w:color w:val="auto"/>
                <w:sz w:val="24"/>
                <w:szCs w:val="24"/>
                <w:highlight w:val="none"/>
                <w:lang w:val="en-US" w:eastAsia="zh-CN"/>
              </w:rPr>
              <w:t>19</w:t>
            </w:r>
            <w:r>
              <w:rPr>
                <w:rFonts w:hint="eastAsia" w:ascii="Times New Roman" w:hAnsi="Times New Roman" w:cs="Times New Roman"/>
                <w:color w:val="auto"/>
                <w:sz w:val="24"/>
                <w:szCs w:val="24"/>
                <w:highlight w:val="none"/>
                <w:lang w:val="en-US" w:eastAsia="zh-CN"/>
              </w:rPr>
              <w:t>）和《报废机动车拆解企业污染控制技术规范》（HJ348-20</w:t>
            </w:r>
            <w:r>
              <w:rPr>
                <w:rFonts w:hint="eastAsia" w:cs="Times New Roman"/>
                <w:color w:val="auto"/>
                <w:sz w:val="24"/>
                <w:szCs w:val="24"/>
                <w:highlight w:val="none"/>
                <w:lang w:val="en-US" w:eastAsia="zh-CN"/>
              </w:rPr>
              <w:t>22</w:t>
            </w:r>
            <w:r>
              <w:rPr>
                <w:rFonts w:hint="eastAsia" w:ascii="Times New Roman" w:hAnsi="Times New Roman" w:cs="Times New Roman"/>
                <w:color w:val="auto"/>
                <w:sz w:val="24"/>
                <w:szCs w:val="24"/>
                <w:highlight w:val="none"/>
                <w:lang w:val="en-US" w:eastAsia="zh-CN"/>
              </w:rPr>
              <w:t>），项目拟建情况与上述规范要求的符合性见下表。</w:t>
            </w:r>
          </w:p>
          <w:p w14:paraId="28DCBD6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表1-2    拟建项目情况与《报废机动车回收管理办法》相符性分析</w:t>
            </w:r>
          </w:p>
          <w:tbl>
            <w:tblPr>
              <w:tblStyle w:val="29"/>
              <w:tblW w:w="7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940"/>
              <w:gridCol w:w="3060"/>
              <w:gridCol w:w="898"/>
            </w:tblGrid>
            <w:tr w14:paraId="783E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01211B1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940" w:type="dxa"/>
                  <w:vAlign w:val="center"/>
                </w:tcPr>
                <w:p w14:paraId="2376EF0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规范要求</w:t>
                  </w:r>
                </w:p>
              </w:tc>
              <w:tc>
                <w:tcPr>
                  <w:tcW w:w="3060" w:type="dxa"/>
                  <w:vAlign w:val="center"/>
                </w:tcPr>
                <w:p w14:paraId="2D32715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项目情况</w:t>
                  </w:r>
                </w:p>
              </w:tc>
              <w:tc>
                <w:tcPr>
                  <w:tcW w:w="898" w:type="dxa"/>
                  <w:vAlign w:val="center"/>
                </w:tcPr>
                <w:p w14:paraId="77461D7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结论</w:t>
                  </w:r>
                </w:p>
              </w:tc>
            </w:tr>
            <w:tr w14:paraId="46CE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3F5E2DE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940" w:type="dxa"/>
                  <w:vAlign w:val="center"/>
                </w:tcPr>
                <w:p w14:paraId="4ECA737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国家对报废机动车回收企业实行资质认定制度</w:t>
                  </w:r>
                </w:p>
              </w:tc>
              <w:tc>
                <w:tcPr>
                  <w:tcW w:w="3060" w:type="dxa"/>
                  <w:vAlign w:val="center"/>
                </w:tcPr>
                <w:p w14:paraId="25B8948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建设单位</w:t>
                  </w:r>
                  <w:r>
                    <w:rPr>
                      <w:rFonts w:hint="eastAsia" w:cs="Times New Roman"/>
                      <w:color w:val="auto"/>
                      <w:kern w:val="2"/>
                      <w:sz w:val="21"/>
                      <w:szCs w:val="21"/>
                      <w:highlight w:val="none"/>
                      <w:lang w:val="en-US" w:eastAsia="zh-CN" w:bidi="ar-SA"/>
                    </w:rPr>
                    <w:t>承诺在获得环评批复并取得</w:t>
                  </w:r>
                  <w:r>
                    <w:rPr>
                      <w:rFonts w:hint="eastAsia" w:ascii="Times New Roman" w:hAnsi="Times New Roman" w:cs="Times New Roman"/>
                      <w:color w:val="auto"/>
                      <w:kern w:val="2"/>
                      <w:sz w:val="21"/>
                      <w:szCs w:val="21"/>
                      <w:highlight w:val="none"/>
                      <w:lang w:val="en-US" w:eastAsia="zh-CN" w:bidi="ar-SA"/>
                    </w:rPr>
                    <w:t>资质</w:t>
                  </w:r>
                  <w:r>
                    <w:rPr>
                      <w:rFonts w:hint="eastAsia" w:cs="Times New Roman"/>
                      <w:color w:val="auto"/>
                      <w:kern w:val="2"/>
                      <w:sz w:val="21"/>
                      <w:szCs w:val="21"/>
                      <w:highlight w:val="none"/>
                      <w:lang w:val="en-US" w:eastAsia="zh-CN" w:bidi="ar-SA"/>
                    </w:rPr>
                    <w:t>后开工</w:t>
                  </w:r>
                </w:p>
              </w:tc>
              <w:tc>
                <w:tcPr>
                  <w:tcW w:w="898" w:type="dxa"/>
                  <w:vAlign w:val="center"/>
                </w:tcPr>
                <w:p w14:paraId="5850951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D7B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56F8E05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940" w:type="dxa"/>
                  <w:vAlign w:val="center"/>
                </w:tcPr>
                <w:p w14:paraId="2DF8B60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具有符合环境保护等有关法律、法规和强制性标准要求的储存、拆解场地、拆解设备、设施以及拆解操作规范</w:t>
                  </w:r>
                </w:p>
              </w:tc>
              <w:tc>
                <w:tcPr>
                  <w:tcW w:w="3060" w:type="dxa"/>
                  <w:vAlign w:val="center"/>
                </w:tcPr>
                <w:p w14:paraId="4105483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本项目总占地面积约</w:t>
                  </w:r>
                  <w:r>
                    <w:rPr>
                      <w:rFonts w:hint="eastAsia" w:cs="Times New Roman"/>
                      <w:color w:val="auto"/>
                      <w:kern w:val="2"/>
                      <w:sz w:val="21"/>
                      <w:szCs w:val="21"/>
                      <w:highlight w:val="none"/>
                      <w:lang w:val="en-US" w:eastAsia="zh-CN" w:bidi="ar-SA"/>
                    </w:rPr>
                    <w:t>7395</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，设置了必要的存储、拆解场地和拆解设备、消防设施，项目建成后年回收拆解能力达到小汽车</w:t>
                  </w:r>
                  <w:r>
                    <w:rPr>
                      <w:rFonts w:hint="eastAsia" w:cs="Times New Roman"/>
                      <w:color w:val="auto"/>
                      <w:kern w:val="2"/>
                      <w:sz w:val="21"/>
                      <w:szCs w:val="21"/>
                      <w:highlight w:val="none"/>
                      <w:lang w:val="en-US" w:eastAsia="zh-CN" w:bidi="ar-SA"/>
                    </w:rPr>
                    <w:t>4950</w:t>
                  </w:r>
                  <w:r>
                    <w:rPr>
                      <w:rFonts w:hint="default" w:ascii="Times New Roman" w:hAnsi="Times New Roman" w:eastAsia="宋体" w:cs="Times New Roman"/>
                      <w:color w:val="auto"/>
                      <w:kern w:val="2"/>
                      <w:sz w:val="21"/>
                      <w:szCs w:val="21"/>
                      <w:highlight w:val="none"/>
                      <w:lang w:val="en-US" w:eastAsia="zh-CN" w:bidi="ar-SA"/>
                    </w:rPr>
                    <w:t>辆，</w:t>
                  </w:r>
                  <w:r>
                    <w:rPr>
                      <w:rFonts w:hint="eastAsia" w:cs="Times New Roman"/>
                      <w:color w:val="auto"/>
                      <w:kern w:val="2"/>
                      <w:sz w:val="21"/>
                      <w:szCs w:val="21"/>
                      <w:highlight w:val="none"/>
                      <w:lang w:val="en-US" w:eastAsia="zh-CN" w:bidi="ar-SA"/>
                    </w:rPr>
                    <w:t>农机50</w:t>
                  </w:r>
                  <w:r>
                    <w:rPr>
                      <w:rFonts w:hint="default" w:ascii="Times New Roman" w:hAnsi="Times New Roman" w:eastAsia="宋体" w:cs="Times New Roman"/>
                      <w:color w:val="auto"/>
                      <w:kern w:val="2"/>
                      <w:sz w:val="21"/>
                      <w:szCs w:val="21"/>
                      <w:highlight w:val="none"/>
                      <w:lang w:val="en-US" w:eastAsia="zh-CN" w:bidi="ar-SA"/>
                    </w:rPr>
                    <w:t>辆。项目各产污环节按照环评提出的环保措施后可达标排放，符合环境保护等有关法律、法规和强制性标准要求。</w:t>
                  </w:r>
                </w:p>
              </w:tc>
              <w:tc>
                <w:tcPr>
                  <w:tcW w:w="898" w:type="dxa"/>
                  <w:vAlign w:val="center"/>
                </w:tcPr>
                <w:p w14:paraId="0FB261B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956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35EFA56F">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940" w:type="dxa"/>
                  <w:vAlign w:val="center"/>
                </w:tcPr>
                <w:p w14:paraId="3FF6C5B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具有与报废机动车拆解活动相适应的专业技术人员</w:t>
                  </w:r>
                </w:p>
              </w:tc>
              <w:tc>
                <w:tcPr>
                  <w:tcW w:w="3060" w:type="dxa"/>
                  <w:vAlign w:val="center"/>
                </w:tcPr>
                <w:p w14:paraId="34CE240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本项目员工</w:t>
                  </w:r>
                  <w:r>
                    <w:rPr>
                      <w:rFonts w:hint="eastAsia" w:cs="Times New Roman"/>
                      <w:color w:val="auto"/>
                      <w:kern w:val="2"/>
                      <w:sz w:val="21"/>
                      <w:szCs w:val="21"/>
                      <w:highlight w:val="none"/>
                      <w:lang w:val="en-US" w:eastAsia="zh-CN" w:bidi="ar-SA"/>
                    </w:rPr>
                    <w:t>7人，专业技术人员2人</w:t>
                  </w:r>
                  <w:r>
                    <w:rPr>
                      <w:rFonts w:hint="eastAsia" w:ascii="Times New Roman" w:hAnsi="Times New Roman" w:cs="Times New Roman"/>
                      <w:color w:val="auto"/>
                      <w:kern w:val="2"/>
                      <w:sz w:val="21"/>
                      <w:szCs w:val="21"/>
                      <w:highlight w:val="none"/>
                      <w:lang w:val="en-US" w:eastAsia="zh-CN" w:bidi="ar-SA"/>
                    </w:rPr>
                    <w:t>。</w:t>
                  </w:r>
                </w:p>
              </w:tc>
              <w:tc>
                <w:tcPr>
                  <w:tcW w:w="898" w:type="dxa"/>
                  <w:vAlign w:val="center"/>
                </w:tcPr>
                <w:p w14:paraId="01DCF70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EF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shd w:val="clear" w:color="auto" w:fill="auto"/>
                  <w:vAlign w:val="center"/>
                </w:tcPr>
                <w:p w14:paraId="1960034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940" w:type="dxa"/>
                  <w:vAlign w:val="center"/>
                </w:tcPr>
                <w:p w14:paraId="4BC923F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报废机动车回收企业对回收的报废机动车，应当向机动车所有人出具《报废机动车回收证明》，收回机动车登记证书、号牌、行驶证，并按照国家有关规定及时向公安机关交通管理部门办理注销登记，将注销证明转交机动车所有人。2、《报废机动车回收证明》样式由国务院负责报废机动车回收管理的部门规定。任何单位或者个人不得买卖或者伪造、变造《报废机动车回收证明》。</w:t>
                  </w:r>
                </w:p>
              </w:tc>
              <w:tc>
                <w:tcPr>
                  <w:tcW w:w="3060" w:type="dxa"/>
                  <w:vAlign w:val="center"/>
                </w:tcPr>
                <w:p w14:paraId="3207F4B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本项目回收报废机动车后，向机动车所有人出具《报废机动车回收证明》，收回机动车登记证书、号牌、行驶证，并按照国家有关规定及时向公安机关交通管理部门办理注销登记，将注销证明转交机动车所有人。2、建设单位承诺不会发生任何买卖或者伪造、变造《报废机动车回收证明》的情况。</w:t>
                  </w:r>
                </w:p>
              </w:tc>
              <w:tc>
                <w:tcPr>
                  <w:tcW w:w="898" w:type="dxa"/>
                  <w:vAlign w:val="center"/>
                </w:tcPr>
                <w:p w14:paraId="54E9E1B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94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shd w:val="clear" w:color="auto" w:fill="auto"/>
                  <w:vAlign w:val="center"/>
                </w:tcPr>
                <w:p w14:paraId="2898155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2940" w:type="dxa"/>
                  <w:vAlign w:val="center"/>
                </w:tcPr>
                <w:p w14:paraId="4A285CC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拆解报废机动车，应当遵守环境保护法律、法规和强制性标准，采取有效措施保护环境，不得造成环境污染。</w:t>
                  </w:r>
                </w:p>
              </w:tc>
              <w:tc>
                <w:tcPr>
                  <w:tcW w:w="3060" w:type="dxa"/>
                  <w:vAlign w:val="center"/>
                </w:tcPr>
                <w:p w14:paraId="544996B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本项目废气、废水、噪声均建有相应的环保设施处理后达标排放，不会造成环境污染。</w:t>
                  </w:r>
                </w:p>
              </w:tc>
              <w:tc>
                <w:tcPr>
                  <w:tcW w:w="898" w:type="dxa"/>
                  <w:vAlign w:val="center"/>
                </w:tcPr>
                <w:p w14:paraId="570F559D">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762B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072147E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p>
              </w:tc>
              <w:tc>
                <w:tcPr>
                  <w:tcW w:w="2940" w:type="dxa"/>
                  <w:vAlign w:val="center"/>
                </w:tcPr>
                <w:p w14:paraId="2102A80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禁止任何单位或者个人利用报废机动车“五大总成”和其他零部件拼装机动车，禁止拼装的机动车交易。</w:t>
                  </w:r>
                </w:p>
              </w:tc>
              <w:tc>
                <w:tcPr>
                  <w:tcW w:w="3060" w:type="dxa"/>
                  <w:vAlign w:val="center"/>
                </w:tcPr>
                <w:p w14:paraId="6CD2F9CE">
                  <w:pPr>
                    <w:jc w:val="both"/>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建设单位</w:t>
                  </w:r>
                  <w:r>
                    <w:rPr>
                      <w:rFonts w:hint="eastAsia" w:cs="Times New Roman"/>
                      <w:color w:val="auto"/>
                      <w:kern w:val="2"/>
                      <w:sz w:val="21"/>
                      <w:szCs w:val="21"/>
                      <w:highlight w:val="none"/>
                      <w:lang w:val="en-US" w:eastAsia="zh-CN" w:bidi="ar-SA"/>
                    </w:rPr>
                    <w:t>严格实施报废汽车的回收管理，</w:t>
                  </w:r>
                  <w:r>
                    <w:rPr>
                      <w:rFonts w:hint="eastAsia" w:ascii="Times New Roman" w:hAnsi="Times New Roman" w:cs="Times New Roman"/>
                      <w:color w:val="auto"/>
                      <w:kern w:val="2"/>
                      <w:sz w:val="21"/>
                      <w:szCs w:val="21"/>
                      <w:highlight w:val="none"/>
                      <w:lang w:val="en-US" w:eastAsia="zh-CN" w:bidi="ar-SA"/>
                    </w:rPr>
                    <w:t>承诺不会利用报废机动车“五大总成”和其他零部件拼装机动车</w:t>
                  </w:r>
                  <w:r>
                    <w:rPr>
                      <w:rFonts w:hint="eastAsia" w:cs="Times New Roman"/>
                      <w:color w:val="auto"/>
                      <w:kern w:val="2"/>
                      <w:sz w:val="21"/>
                      <w:szCs w:val="21"/>
                      <w:highlight w:val="none"/>
                      <w:lang w:val="en-US" w:eastAsia="zh-CN" w:bidi="ar-SA"/>
                    </w:rPr>
                    <w:t>并进行交易</w:t>
                  </w:r>
                  <w:r>
                    <w:rPr>
                      <w:rFonts w:hint="eastAsia" w:ascii="Times New Roman" w:hAnsi="Times New Roman" w:cs="Times New Roman"/>
                      <w:color w:val="auto"/>
                      <w:kern w:val="2"/>
                      <w:sz w:val="21"/>
                      <w:szCs w:val="21"/>
                      <w:highlight w:val="none"/>
                      <w:lang w:val="en-US" w:eastAsia="zh-CN" w:bidi="ar-SA"/>
                    </w:rPr>
                    <w:t>。</w:t>
                  </w:r>
                </w:p>
              </w:tc>
              <w:tc>
                <w:tcPr>
                  <w:tcW w:w="898" w:type="dxa"/>
                  <w:vAlign w:val="center"/>
                </w:tcPr>
                <w:p w14:paraId="655D2B3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bl>
          <w:p w14:paraId="710E51C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表1-3    拟建项目情况与《汽车产品回收利用技术政策》相符性分析</w:t>
            </w:r>
          </w:p>
          <w:tbl>
            <w:tblPr>
              <w:tblStyle w:val="29"/>
              <w:tblW w:w="7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940"/>
              <w:gridCol w:w="3060"/>
              <w:gridCol w:w="898"/>
            </w:tblGrid>
            <w:tr w14:paraId="3B95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454CB10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940" w:type="dxa"/>
                  <w:vAlign w:val="center"/>
                </w:tcPr>
                <w:p w14:paraId="3B364DD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规范要求</w:t>
                  </w:r>
                </w:p>
              </w:tc>
              <w:tc>
                <w:tcPr>
                  <w:tcW w:w="3060" w:type="dxa"/>
                  <w:vAlign w:val="center"/>
                </w:tcPr>
                <w:p w14:paraId="6FD59F5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项目情况</w:t>
                  </w:r>
                </w:p>
              </w:tc>
              <w:tc>
                <w:tcPr>
                  <w:tcW w:w="898" w:type="dxa"/>
                  <w:vAlign w:val="center"/>
                </w:tcPr>
                <w:p w14:paraId="7638FB1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结论</w:t>
                  </w:r>
                </w:p>
              </w:tc>
            </w:tr>
            <w:tr w14:paraId="65A6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5A9BE263">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940" w:type="dxa"/>
                  <w:vAlign w:val="center"/>
                </w:tcPr>
                <w:p w14:paraId="4B15C9A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拆卸及报废零部件，要分类收集存放，妥善保管，在政策允许的前提下，鼓励合格的拆卸零部件重新进入流通，作为维修零部件装车使用。</w:t>
                  </w:r>
                </w:p>
              </w:tc>
              <w:tc>
                <w:tcPr>
                  <w:tcW w:w="3060" w:type="dxa"/>
                  <w:vAlign w:val="center"/>
                </w:tcPr>
                <w:p w14:paraId="5C5E4E3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本项目对</w:t>
                  </w:r>
                  <w:r>
                    <w:rPr>
                      <w:rFonts w:hint="eastAsia" w:ascii="Times New Roman" w:hAnsi="Times New Roman" w:eastAsia="宋体" w:cs="Times New Roman"/>
                      <w:color w:val="auto"/>
                      <w:kern w:val="2"/>
                      <w:sz w:val="21"/>
                      <w:szCs w:val="21"/>
                      <w:highlight w:val="none"/>
                      <w:lang w:val="en-US" w:eastAsia="zh-CN" w:bidi="ar-SA"/>
                    </w:rPr>
                    <w:t>拆卸及报废</w:t>
                  </w:r>
                  <w:r>
                    <w:rPr>
                      <w:rFonts w:hint="eastAsia" w:cs="Times New Roman"/>
                      <w:color w:val="auto"/>
                      <w:kern w:val="2"/>
                      <w:sz w:val="21"/>
                      <w:szCs w:val="21"/>
                      <w:highlight w:val="none"/>
                      <w:lang w:val="en-US" w:eastAsia="zh-CN" w:bidi="ar-SA"/>
                    </w:rPr>
                    <w:t>的</w:t>
                  </w:r>
                  <w:r>
                    <w:rPr>
                      <w:rFonts w:hint="eastAsia" w:ascii="Times New Roman" w:hAnsi="Times New Roman" w:eastAsia="宋体" w:cs="Times New Roman"/>
                      <w:color w:val="auto"/>
                      <w:kern w:val="2"/>
                      <w:sz w:val="21"/>
                      <w:szCs w:val="21"/>
                      <w:highlight w:val="none"/>
                      <w:lang w:val="en-US" w:eastAsia="zh-CN" w:bidi="ar-SA"/>
                    </w:rPr>
                    <w:t>零部件，</w:t>
                  </w:r>
                  <w:r>
                    <w:rPr>
                      <w:rFonts w:hint="eastAsia" w:cs="Times New Roman"/>
                      <w:color w:val="auto"/>
                      <w:kern w:val="2"/>
                      <w:sz w:val="21"/>
                      <w:szCs w:val="21"/>
                      <w:highlight w:val="none"/>
                      <w:lang w:val="en-US" w:eastAsia="zh-CN" w:bidi="ar-SA"/>
                    </w:rPr>
                    <w:t>进行</w:t>
                  </w:r>
                  <w:r>
                    <w:rPr>
                      <w:rFonts w:hint="eastAsia" w:ascii="Times New Roman" w:hAnsi="Times New Roman" w:eastAsia="宋体" w:cs="Times New Roman"/>
                      <w:color w:val="auto"/>
                      <w:kern w:val="2"/>
                      <w:sz w:val="21"/>
                      <w:szCs w:val="21"/>
                      <w:highlight w:val="none"/>
                      <w:lang w:val="en-US" w:eastAsia="zh-CN" w:bidi="ar-SA"/>
                    </w:rPr>
                    <w:t>分类收集存放，妥善保管，在政策允许的前提下，合格的拆卸零部件重新进入流通，作为维修零部件装车使用。</w:t>
                  </w:r>
                </w:p>
              </w:tc>
              <w:tc>
                <w:tcPr>
                  <w:tcW w:w="898" w:type="dxa"/>
                  <w:vAlign w:val="center"/>
                </w:tcPr>
                <w:p w14:paraId="58BCAA5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56A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1D3C308A">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940" w:type="dxa"/>
                  <w:vAlign w:val="center"/>
                </w:tcPr>
                <w:p w14:paraId="2A6DBF1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对已不具备原设计性能，又无再制造价值的拆解及报废零部件，应分别交给相应的材料再生处理企业进行再生利用，不应以倾倒、抛洒、填埋等危害环境的方式处置。</w:t>
                  </w:r>
                </w:p>
              </w:tc>
              <w:tc>
                <w:tcPr>
                  <w:tcW w:w="3060" w:type="dxa"/>
                  <w:vAlign w:val="center"/>
                </w:tcPr>
                <w:p w14:paraId="59D7C24E">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本项目对</w:t>
                  </w:r>
                  <w:r>
                    <w:rPr>
                      <w:rFonts w:hint="eastAsia" w:ascii="Times New Roman" w:hAnsi="Times New Roman" w:eastAsia="宋体" w:cs="Times New Roman"/>
                      <w:color w:val="auto"/>
                      <w:kern w:val="2"/>
                      <w:sz w:val="21"/>
                      <w:szCs w:val="21"/>
                      <w:highlight w:val="none"/>
                      <w:lang w:val="en-US" w:eastAsia="zh-CN" w:bidi="ar-SA"/>
                    </w:rPr>
                    <w:t>已不具备原设计性能，又无再制造价值的拆解及报废零部件，分别交给相应的材料再生处理企业进行再生利用，不以倾倒、抛洒、填埋等危害环境的方式处置。</w:t>
                  </w:r>
                </w:p>
              </w:tc>
              <w:tc>
                <w:tcPr>
                  <w:tcW w:w="898" w:type="dxa"/>
                  <w:vAlign w:val="center"/>
                </w:tcPr>
                <w:p w14:paraId="7F3D457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77C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vAlign w:val="center"/>
                </w:tcPr>
                <w:p w14:paraId="7E8BBAB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2940" w:type="dxa"/>
                  <w:vAlign w:val="center"/>
                </w:tcPr>
                <w:p w14:paraId="4DBD377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汽车维修过程中产生的蓄电池、催化转化器、废油、废液、废橡胶(含轮胎)及塑料件等要按规定分类回收、保管和运输，交给相关企业进行加工处理、改变用途使用，或作为能量再生使用。</w:t>
                  </w:r>
                </w:p>
              </w:tc>
              <w:tc>
                <w:tcPr>
                  <w:tcW w:w="3060" w:type="dxa"/>
                  <w:vAlign w:val="center"/>
                </w:tcPr>
                <w:p w14:paraId="356C3A0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汽车维修过程中产生的蓄电池、催化转化器、废油、废液、废橡胶(含轮胎)及塑料件等按规定分类回收、保管和运输，交给相关企业进行加工处理、改变用途使用，或作为能量再生使用。</w:t>
                  </w:r>
                </w:p>
              </w:tc>
              <w:tc>
                <w:tcPr>
                  <w:tcW w:w="898" w:type="dxa"/>
                  <w:vAlign w:val="center"/>
                </w:tcPr>
                <w:p w14:paraId="34AE8E3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2E9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shd w:val="clear" w:color="auto" w:fill="auto"/>
                  <w:vAlign w:val="center"/>
                </w:tcPr>
                <w:p w14:paraId="5F2A2150">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2940" w:type="dxa"/>
                  <w:vAlign w:val="center"/>
                </w:tcPr>
                <w:p w14:paraId="43D15B2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对含有有毒物质或对环境及人身有害的物质，如蓄电池、安全气囊、催化剂、制冷剂等，必须交由有资质的企业处理。危险废物的收集、储存、运输、处理应符合《危险废物贮存污染控制标准》《危险废物填埋污染控制标准》《危险废物焚烧污染控制标准》等安全和环保要求。</w:t>
                  </w:r>
                </w:p>
              </w:tc>
              <w:tc>
                <w:tcPr>
                  <w:tcW w:w="3060" w:type="dxa"/>
                  <w:vAlign w:val="center"/>
                </w:tcPr>
                <w:p w14:paraId="24F98C83">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蓄电池、安全气囊、催化剂、制冷剂等，交由有资质的企业处理。危险废物的收集、暂存在企业内进行，严格按照《危险废物贮存污染控制标准》《危险废物填埋污染控制标准》《危险废物焚烧污染控制标准》等安全和环保要求收集、暂存。运输、处理委托有资质的单位按相关规范要求进行。</w:t>
                  </w:r>
                </w:p>
              </w:tc>
              <w:tc>
                <w:tcPr>
                  <w:tcW w:w="898" w:type="dxa"/>
                  <w:vAlign w:val="center"/>
                </w:tcPr>
                <w:p w14:paraId="46133B52">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F35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6" w:type="dxa"/>
                  <w:shd w:val="clear" w:color="auto" w:fill="auto"/>
                  <w:vAlign w:val="center"/>
                </w:tcPr>
                <w:p w14:paraId="06BA445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2940" w:type="dxa"/>
                  <w:shd w:val="clear" w:color="auto" w:fill="auto"/>
                  <w:vAlign w:val="center"/>
                </w:tcPr>
                <w:p w14:paraId="75DFE95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回收拆解企业应有必要的专业技术人员，具备与处理能力相适应的专门设备、场地等。</w:t>
                  </w:r>
                </w:p>
              </w:tc>
              <w:tc>
                <w:tcPr>
                  <w:tcW w:w="3060" w:type="dxa"/>
                  <w:shd w:val="clear" w:color="auto" w:fill="auto"/>
                  <w:vAlign w:val="center"/>
                </w:tcPr>
                <w:p w14:paraId="7CE4B1E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项目有专业技术人员并持证上岗，具备与处理能力相适应的专门设备、场地等。</w:t>
                  </w:r>
                </w:p>
              </w:tc>
              <w:tc>
                <w:tcPr>
                  <w:tcW w:w="898" w:type="dxa"/>
                  <w:shd w:val="clear" w:color="auto" w:fill="auto"/>
                  <w:vAlign w:val="center"/>
                </w:tcPr>
                <w:p w14:paraId="3F51740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bl>
          <w:p w14:paraId="28D786A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表1-4    拟建项目情况与《报废机动车回收拆解企业技术规范》相符性分析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524"/>
              <w:gridCol w:w="3536"/>
              <w:gridCol w:w="2658"/>
              <w:gridCol w:w="922"/>
            </w:tblGrid>
            <w:tr w14:paraId="1063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gridSpan w:val="2"/>
                  <w:vAlign w:val="center"/>
                </w:tcPr>
                <w:p w14:paraId="5D7715BD">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167" w:type="pct"/>
                  <w:vAlign w:val="center"/>
                </w:tcPr>
                <w:p w14:paraId="6A2A4821">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规范要求</w:t>
                  </w:r>
                </w:p>
              </w:tc>
              <w:tc>
                <w:tcPr>
                  <w:tcW w:w="1629" w:type="pct"/>
                  <w:vAlign w:val="center"/>
                </w:tcPr>
                <w:p w14:paraId="31034208">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项目情况</w:t>
                  </w:r>
                </w:p>
              </w:tc>
              <w:tc>
                <w:tcPr>
                  <w:tcW w:w="565" w:type="pct"/>
                  <w:vAlign w:val="center"/>
                </w:tcPr>
                <w:p w14:paraId="1AA4830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结论</w:t>
                  </w:r>
                </w:p>
              </w:tc>
            </w:tr>
            <w:tr w14:paraId="4831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vAlign w:val="center"/>
                </w:tcPr>
                <w:p w14:paraId="425CFC7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场地建设要求</w:t>
                  </w:r>
                </w:p>
              </w:tc>
              <w:tc>
                <w:tcPr>
                  <w:tcW w:w="320" w:type="pct"/>
                  <w:vAlign w:val="center"/>
                </w:tcPr>
                <w:p w14:paraId="5CAC493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6504D7AC">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符合GB50187、HJ348的选址要求，不得建在城市居民区、商业区、饮用水水源保护区及其他环境敏感地带、地段和地区</w:t>
                  </w:r>
                </w:p>
              </w:tc>
              <w:tc>
                <w:tcPr>
                  <w:tcW w:w="1629" w:type="pct"/>
                  <w:vAlign w:val="center"/>
                </w:tcPr>
                <w:p w14:paraId="6DFBD180">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本项目位于68团5连，</w:t>
                  </w:r>
                  <w:r>
                    <w:rPr>
                      <w:rFonts w:hint="eastAsia" w:cs="Times New Roman"/>
                      <w:color w:val="auto"/>
                      <w:kern w:val="2"/>
                      <w:sz w:val="21"/>
                      <w:szCs w:val="21"/>
                      <w:highlight w:val="none"/>
                      <w:lang w:val="en-US" w:eastAsia="zh-CN" w:bidi="ar-SA"/>
                    </w:rPr>
                    <w:t>用地为工业用地，</w:t>
                  </w:r>
                  <w:r>
                    <w:rPr>
                      <w:rFonts w:hint="eastAsia" w:ascii="Times New Roman" w:hAnsi="Times New Roman" w:cs="Times New Roman"/>
                      <w:color w:val="auto"/>
                      <w:kern w:val="2"/>
                      <w:sz w:val="21"/>
                      <w:szCs w:val="21"/>
                      <w:highlight w:val="none"/>
                      <w:lang w:val="en-US" w:eastAsia="zh-CN" w:bidi="ar-SA"/>
                    </w:rPr>
                    <w:t>项目厂址不在城市居民区、商业区、饮用水水源保护区及其他环境敏感地带、地段和地区</w:t>
                  </w:r>
                </w:p>
              </w:tc>
              <w:tc>
                <w:tcPr>
                  <w:tcW w:w="565" w:type="pct"/>
                  <w:vAlign w:val="center"/>
                </w:tcPr>
                <w:p w14:paraId="081E5CD4">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F3F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vAlign w:val="center"/>
                </w:tcPr>
                <w:p w14:paraId="111F5FD7">
                  <w:pPr>
                    <w:jc w:val="center"/>
                    <w:rPr>
                      <w:rFonts w:hint="default" w:ascii="Times New Roman" w:hAnsi="Times New Roman" w:eastAsia="宋体" w:cs="Times New Roman"/>
                      <w:color w:val="auto"/>
                      <w:kern w:val="2"/>
                      <w:sz w:val="21"/>
                      <w:szCs w:val="21"/>
                      <w:highlight w:val="none"/>
                      <w:lang w:val="en-US" w:eastAsia="zh-CN" w:bidi="ar-SA"/>
                    </w:rPr>
                  </w:pPr>
                </w:p>
              </w:tc>
              <w:tc>
                <w:tcPr>
                  <w:tcW w:w="320" w:type="pct"/>
                  <w:vAlign w:val="center"/>
                </w:tcPr>
                <w:p w14:paraId="0B2DC84B">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1C476AE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企业场地建设应符合HJ348的企业建设环境保护要求</w:t>
                  </w:r>
                </w:p>
              </w:tc>
              <w:tc>
                <w:tcPr>
                  <w:tcW w:w="1629" w:type="pct"/>
                  <w:vAlign w:val="center"/>
                </w:tcPr>
                <w:p w14:paraId="1065E15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场地建设符合HJ348的企业建设环境保护要求。</w:t>
                  </w:r>
                </w:p>
              </w:tc>
              <w:tc>
                <w:tcPr>
                  <w:tcW w:w="565" w:type="pct"/>
                  <w:vAlign w:val="center"/>
                </w:tcPr>
                <w:p w14:paraId="7183E65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13F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4AD58538">
                  <w:pPr>
                    <w:jc w:val="center"/>
                    <w:rPr>
                      <w:rFonts w:hint="eastAsia" w:ascii="Times New Roman" w:hAnsi="Times New Roman" w:eastAsia="宋体" w:cs="Times New Roman"/>
                      <w:color w:val="auto"/>
                      <w:kern w:val="2"/>
                      <w:sz w:val="21"/>
                      <w:szCs w:val="21"/>
                      <w:highlight w:val="none"/>
                      <w:lang w:val="en-US" w:eastAsia="zh-CN" w:bidi="ar-SA"/>
                    </w:rPr>
                  </w:pPr>
                </w:p>
              </w:tc>
              <w:tc>
                <w:tcPr>
                  <w:tcW w:w="320" w:type="pct"/>
                  <w:shd w:val="clear" w:color="auto" w:fill="auto"/>
                  <w:vAlign w:val="center"/>
                </w:tcPr>
                <w:p w14:paraId="7571CA39">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50EEC94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企业场地应具备拆解场地、贮存场地和办公场地。其中拆解场地和贮存场地（包括临时贮存）的地面应硬化并防渗漏，满足GB50037的防油渗地要求。</w:t>
                  </w:r>
                </w:p>
              </w:tc>
              <w:tc>
                <w:tcPr>
                  <w:tcW w:w="1629" w:type="pct"/>
                  <w:vAlign w:val="center"/>
                </w:tcPr>
                <w:p w14:paraId="66544F2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项目具备拆解场地、贮存场地和办公场地。其中，拆解场地和贮存场地进行地面硬化及防渗处理，满足GB50037的耐磨和耐撞击地面及防油渗地面要求。</w:t>
                  </w:r>
                </w:p>
              </w:tc>
              <w:tc>
                <w:tcPr>
                  <w:tcW w:w="565" w:type="pct"/>
                  <w:vAlign w:val="center"/>
                </w:tcPr>
                <w:p w14:paraId="4D3627F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F00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5386268C">
                  <w:pPr>
                    <w:jc w:val="center"/>
                    <w:rPr>
                      <w:rFonts w:hint="default" w:ascii="Times New Roman" w:hAnsi="Times New Roman" w:eastAsia="宋体" w:cs="Times New Roman"/>
                      <w:color w:val="auto"/>
                      <w:kern w:val="2"/>
                      <w:sz w:val="21"/>
                      <w:szCs w:val="21"/>
                      <w:highlight w:val="none"/>
                      <w:lang w:val="en-US" w:eastAsia="zh-CN" w:bidi="ar-SA"/>
                    </w:rPr>
                  </w:pPr>
                </w:p>
              </w:tc>
              <w:tc>
                <w:tcPr>
                  <w:tcW w:w="320" w:type="pct"/>
                  <w:shd w:val="clear" w:color="auto" w:fill="auto"/>
                  <w:vAlign w:val="center"/>
                </w:tcPr>
                <w:p w14:paraId="222EC71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167" w:type="pct"/>
                  <w:vAlign w:val="center"/>
                </w:tcPr>
                <w:p w14:paraId="62EEEA3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拆解场地应为封闭或半封闭构筑物，应通风、光线良好，安全环保设施设备齐全。</w:t>
                  </w:r>
                </w:p>
              </w:tc>
              <w:tc>
                <w:tcPr>
                  <w:tcW w:w="1629" w:type="pct"/>
                  <w:vAlign w:val="center"/>
                </w:tcPr>
                <w:p w14:paraId="1ACD647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各作业分区均采用封闭构建筑物</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地面按要求进行硬化或防渗，并配备相应的安全环保设施。未拆解报废机动车贮存区、产品(半成品）贮存区和危废暂存间按相关要求进行布置。</w:t>
                  </w:r>
                </w:p>
              </w:tc>
              <w:tc>
                <w:tcPr>
                  <w:tcW w:w="565" w:type="pct"/>
                  <w:vAlign w:val="center"/>
                </w:tcPr>
                <w:p w14:paraId="5CF9CB66">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3F6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3670F748">
                  <w:pPr>
                    <w:jc w:val="center"/>
                    <w:rPr>
                      <w:rFonts w:hint="default" w:ascii="Times New Roman" w:hAnsi="Times New Roman" w:eastAsia="宋体" w:cs="Times New Roman"/>
                      <w:color w:val="auto"/>
                      <w:kern w:val="2"/>
                      <w:sz w:val="21"/>
                      <w:szCs w:val="21"/>
                      <w:highlight w:val="none"/>
                      <w:lang w:val="en-US" w:eastAsia="zh-CN" w:bidi="ar-SA"/>
                    </w:rPr>
                  </w:pPr>
                </w:p>
              </w:tc>
              <w:tc>
                <w:tcPr>
                  <w:tcW w:w="320" w:type="pct"/>
                  <w:shd w:val="clear" w:color="auto" w:fill="auto"/>
                  <w:vAlign w:val="center"/>
                </w:tcPr>
                <w:p w14:paraId="129A8F32">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2167" w:type="pct"/>
                  <w:vAlign w:val="center"/>
                </w:tcPr>
                <w:p w14:paraId="7C44C09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贮存场地应分为报废机动车贮存场地、回用件贮存场地及固体废物贮存场地。固体废物贮存场地应具有一般工业固体废物贮存设施和危险废物贮存设施，并应分别满足GB18599和GB18597的要求。</w:t>
                  </w:r>
                </w:p>
              </w:tc>
              <w:tc>
                <w:tcPr>
                  <w:tcW w:w="1629" w:type="pct"/>
                  <w:vAlign w:val="center"/>
                </w:tcPr>
                <w:p w14:paraId="7EC9A908">
                  <w:pPr>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b w:val="0"/>
                      <w:bCs/>
                      <w:color w:val="000000"/>
                      <w:sz w:val="21"/>
                      <w:szCs w:val="21"/>
                    </w:rPr>
                    <w:t>本项目贮存场地分为报废机动车贮存区、产品（半成品）储存区及固体废物贮存场地（一般固废暂存区、危废暂存区）。固体废物贮存场地满足GB18599要求的一般工业固体废物贮存设施和满足GB18597要求的危险废物贮存设施。</w:t>
                  </w:r>
                </w:p>
              </w:tc>
              <w:tc>
                <w:tcPr>
                  <w:tcW w:w="565" w:type="pct"/>
                  <w:vAlign w:val="center"/>
                </w:tcPr>
                <w:p w14:paraId="0C43D76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729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shd w:val="clear" w:color="auto" w:fill="auto"/>
                  <w:vAlign w:val="center"/>
                </w:tcPr>
                <w:p w14:paraId="5ABFA0B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设施设备要求</w:t>
                  </w:r>
                </w:p>
              </w:tc>
              <w:tc>
                <w:tcPr>
                  <w:tcW w:w="320" w:type="pct"/>
                  <w:shd w:val="clear" w:color="auto" w:fill="auto"/>
                  <w:vAlign w:val="center"/>
                </w:tcPr>
                <w:p w14:paraId="754AF1E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127582A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具备以下一般拆解设施设备：a)车辆称重设备；b)室内或有防雨顶棚的拆解预处理平台；c)车架（车身）剪断、切割设备或压扁设备，不得以氧割设备代替；d)起重、运输或专用拖车等设备；e)总成拆解平台；f)气动拆解工具；g)简易拆解工具。</w:t>
                  </w:r>
                </w:p>
              </w:tc>
              <w:tc>
                <w:tcPr>
                  <w:tcW w:w="1629" w:type="pct"/>
                  <w:vAlign w:val="center"/>
                </w:tcPr>
                <w:p w14:paraId="7C1C00E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①本项目配套车辆称重设备、精细拆解平台及相应设备工装、解体机、车架剪断、车身剪断设备，配备废油液收集回收装置</w:t>
                  </w:r>
                  <w:r>
                    <w:rPr>
                      <w:rFonts w:hint="eastAsia" w:cs="Times New Roman"/>
                      <w:color w:val="auto"/>
                      <w:kern w:val="2"/>
                      <w:sz w:val="21"/>
                      <w:szCs w:val="21"/>
                      <w:highlight w:val="none"/>
                      <w:lang w:val="en-US" w:eastAsia="zh-CN" w:bidi="ar-SA"/>
                    </w:rPr>
                    <w:t>；</w:t>
                  </w:r>
                </w:p>
              </w:tc>
              <w:tc>
                <w:tcPr>
                  <w:tcW w:w="565" w:type="pct"/>
                  <w:vAlign w:val="center"/>
                </w:tcPr>
                <w:p w14:paraId="75EB5F9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C77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4CE00E80">
                  <w:pPr>
                    <w:jc w:val="center"/>
                    <w:rPr>
                      <w:rFonts w:hint="default"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1D39F4C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15A7934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具备以下安全环保设施设备：配有专用废液收集装置和分类存放各种废液的专用密闭容器；安全气囊直接引爆装置或者拆除、贮存、引爆装置；机动车空调制冷剂收集装置和分类存放各种制冷的密闭容器；分类存放机油滤清器和铅酸蓄电池的容器。</w:t>
                  </w:r>
                </w:p>
              </w:tc>
              <w:tc>
                <w:tcPr>
                  <w:tcW w:w="1629" w:type="pct"/>
                  <w:vAlign w:val="center"/>
                </w:tcPr>
                <w:p w14:paraId="140FDCA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本项目配有专用废液收集装置和分类存放各种废液的专用密闭容器；本项目中机动车空调制冷剂收集装置和分类存放各种制冷剂的密闭容器；本项目拆解过程产生的机油滤清器和铅酸蓄电池的容器分类存放。</w:t>
                  </w:r>
                </w:p>
              </w:tc>
              <w:tc>
                <w:tcPr>
                  <w:tcW w:w="565" w:type="pct"/>
                  <w:vAlign w:val="center"/>
                </w:tcPr>
                <w:p w14:paraId="0CD4DFF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76F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39BDD376">
                  <w:pPr>
                    <w:jc w:val="center"/>
                    <w:rPr>
                      <w:rFonts w:hint="default"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3E4E6E7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7D2F50D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应具备电脑、拍照设备、电子监控等设施设备。</w:t>
                  </w:r>
                </w:p>
              </w:tc>
              <w:tc>
                <w:tcPr>
                  <w:tcW w:w="1629" w:type="pct"/>
                  <w:vAlign w:val="center"/>
                </w:tcPr>
                <w:p w14:paraId="6BB1965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项目配备了电脑、拍照设备、电子监控等设施设备。</w:t>
                  </w:r>
                </w:p>
              </w:tc>
              <w:tc>
                <w:tcPr>
                  <w:tcW w:w="565" w:type="pct"/>
                  <w:vAlign w:val="center"/>
                </w:tcPr>
                <w:p w14:paraId="16BCE8F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1C5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699EB648">
                  <w:pPr>
                    <w:jc w:val="center"/>
                    <w:rPr>
                      <w:rFonts w:hint="default"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0EB7495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167" w:type="pct"/>
                  <w:vAlign w:val="center"/>
                </w:tcPr>
                <w:p w14:paraId="4D8FBB5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应建立设施设备管理制度，制定设备操作规范，并定期维护、更新。</w:t>
                  </w:r>
                </w:p>
              </w:tc>
              <w:tc>
                <w:tcPr>
                  <w:tcW w:w="1629" w:type="pct"/>
                  <w:vAlign w:val="center"/>
                </w:tcPr>
                <w:p w14:paraId="454143B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项目建立了完善的设施管理制度、操作规程等流程。</w:t>
                  </w:r>
                </w:p>
              </w:tc>
              <w:tc>
                <w:tcPr>
                  <w:tcW w:w="565" w:type="pct"/>
                  <w:vAlign w:val="center"/>
                </w:tcPr>
                <w:p w14:paraId="357C782B">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1BFD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shd w:val="clear" w:color="auto" w:fill="auto"/>
                  <w:vAlign w:val="center"/>
                </w:tcPr>
                <w:p w14:paraId="75BAEFA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技术人员要求</w:t>
                  </w:r>
                </w:p>
              </w:tc>
              <w:tc>
                <w:tcPr>
                  <w:tcW w:w="320" w:type="pct"/>
                  <w:shd w:val="clear" w:color="auto" w:fill="auto"/>
                  <w:vAlign w:val="center"/>
                </w:tcPr>
                <w:p w14:paraId="2BFC803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5320495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企业技术人员应经过岗前培训，其专业技能应能满足规范拆解、环保作业、安全操作等相应要求，并配备专业安全生产管理人员和环保管理人员，国家有持证上岗规定的，应持证上岗。</w:t>
                  </w:r>
                </w:p>
              </w:tc>
              <w:tc>
                <w:tcPr>
                  <w:tcW w:w="1629" w:type="pct"/>
                  <w:vAlign w:val="center"/>
                </w:tcPr>
                <w:p w14:paraId="4A10562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项目相关作业技术人员需岗前培训合格、并配备专业安全生产管理人员和环保管理人员，相关人员持证上岗。</w:t>
                  </w:r>
                </w:p>
              </w:tc>
              <w:tc>
                <w:tcPr>
                  <w:tcW w:w="565" w:type="pct"/>
                  <w:vAlign w:val="center"/>
                </w:tcPr>
                <w:p w14:paraId="140F8E1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73E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shd w:val="clear" w:color="auto" w:fill="auto"/>
                  <w:vAlign w:val="center"/>
                </w:tcPr>
                <w:p w14:paraId="52A2617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信息管理要求</w:t>
                  </w:r>
                </w:p>
              </w:tc>
              <w:tc>
                <w:tcPr>
                  <w:tcW w:w="320" w:type="pct"/>
                  <w:shd w:val="clear" w:color="auto" w:fill="auto"/>
                  <w:vAlign w:val="center"/>
                </w:tcPr>
                <w:p w14:paraId="2F29631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48117A2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建立电子信息档案，按以下方式记录报废机动车回收登记、固体废物信息：1）对回收的报废机动车进行逐车登记，并按要求将报废机动车所有人（单位）名称、有效证件号码、牌照号码、车型、品牌型号、车身颜色、重量、发动机号和/或动力蓄电池编码、车辆识别代号、出厂年份、接收或收购日期等相关信息录入“全国汽车流通信息管理应用服务”系统，信息保存期限不应低于3年；2）将固体废物的来源、种类、产生量、产生时间及处理（流向）等数据，录入到“全国固体废物管理信息系统”或省级生态环境主管部门自建与其联网的相关系统，其中危险废物处理（流向）信息保存期限为3年。</w:t>
                  </w:r>
                </w:p>
              </w:tc>
              <w:tc>
                <w:tcPr>
                  <w:tcW w:w="1629" w:type="pct"/>
                  <w:vAlign w:val="center"/>
                </w:tcPr>
                <w:p w14:paraId="65FCC7E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1）本项目对报废机动车进行登记注册并拍照将其主要信息录入“全国汽车流通信息管理应用服务”系统，信息保存期限不低于3年；2）本项目对废物的信息录入电脑数据库，信息保存期限不低于3年。</w:t>
                  </w:r>
                </w:p>
              </w:tc>
              <w:tc>
                <w:tcPr>
                  <w:tcW w:w="565" w:type="pct"/>
                  <w:vAlign w:val="center"/>
                </w:tcPr>
                <w:p w14:paraId="6942083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30C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43D2DA77">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11E4713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2B8D47A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生产经营场所应设置全覆盖的电子监控系统，实时记录报废机动车回收和拆解过程。相关信息保存期限不应低于1年。</w:t>
                  </w:r>
                </w:p>
              </w:tc>
              <w:tc>
                <w:tcPr>
                  <w:tcW w:w="1629" w:type="pct"/>
                  <w:vAlign w:val="center"/>
                </w:tcPr>
                <w:p w14:paraId="4D82D4A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项目设置全覆盖的电子监控系统，实时记录报废机动车回收和拆解过程。相关信息保存期限不应低于1年。</w:t>
                  </w:r>
                </w:p>
              </w:tc>
              <w:tc>
                <w:tcPr>
                  <w:tcW w:w="565" w:type="pct"/>
                  <w:vAlign w:val="center"/>
                </w:tcPr>
                <w:p w14:paraId="27574A4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454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shd w:val="clear" w:color="auto" w:fill="auto"/>
                  <w:vAlign w:val="center"/>
                </w:tcPr>
                <w:p w14:paraId="75DB48E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安全要求</w:t>
                  </w:r>
                </w:p>
              </w:tc>
              <w:tc>
                <w:tcPr>
                  <w:tcW w:w="320" w:type="pct"/>
                  <w:shd w:val="clear" w:color="auto" w:fill="auto"/>
                  <w:vAlign w:val="center"/>
                </w:tcPr>
                <w:p w14:paraId="3E00BEA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2779D777">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实施满足GB/T33000要求的安全管理制度，具有水、电、气等安全使用说明，安全生产规程，防火、防汛、应急预案等。拆除的安全气囊组件应在易燃、易爆等危险品仓库及高压输电线路防护区域以引爆，并在引爆区域设有爆炸物安全警示标志和隔离栏。</w:t>
                  </w:r>
                </w:p>
              </w:tc>
              <w:tc>
                <w:tcPr>
                  <w:tcW w:w="1629" w:type="pct"/>
                  <w:vAlign w:val="center"/>
                </w:tcPr>
                <w:p w14:paraId="5A4F64A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项目设立安全管理制度，具有水、电、气等安全使用说明，安全生产规程，防火、防汛、应急预案等。</w:t>
                  </w:r>
                </w:p>
              </w:tc>
              <w:tc>
                <w:tcPr>
                  <w:tcW w:w="565" w:type="pct"/>
                  <w:vAlign w:val="center"/>
                </w:tcPr>
                <w:p w14:paraId="3B76274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70B4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2580D415">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11EC340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51E6C25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场地内应设置相应的安全标志，安全标志的使用应满足GB2894中关于禁止、警告、指令、提示标志的要求。</w:t>
                  </w:r>
                </w:p>
              </w:tc>
              <w:tc>
                <w:tcPr>
                  <w:tcW w:w="1629" w:type="pct"/>
                  <w:vAlign w:val="center"/>
                </w:tcPr>
                <w:p w14:paraId="14DE377B">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项目场地内设置相应的安全标志，包括GB2894中关于禁止、警告、指令、提示标志的要求。</w:t>
                  </w:r>
                </w:p>
              </w:tc>
              <w:tc>
                <w:tcPr>
                  <w:tcW w:w="565" w:type="pct"/>
                  <w:vAlign w:val="center"/>
                </w:tcPr>
                <w:p w14:paraId="4ACC08B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6E0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0EA1F704">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5FF2D38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6503E05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应按照GBZ188的规定接触汽油等有害化学因素，噪声、手传振动等有害物理因素的作业人员及粉尘、电工、压力容器等作业人员进行监护。</w:t>
                  </w:r>
                </w:p>
              </w:tc>
              <w:tc>
                <w:tcPr>
                  <w:tcW w:w="1629" w:type="pct"/>
                  <w:vAlign w:val="center"/>
                </w:tcPr>
                <w:p w14:paraId="641F912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建设单位按规定对作业人员进行监护。</w:t>
                  </w:r>
                </w:p>
              </w:tc>
              <w:tc>
                <w:tcPr>
                  <w:tcW w:w="565" w:type="pct"/>
                  <w:vAlign w:val="center"/>
                </w:tcPr>
                <w:p w14:paraId="5BBBE3B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FBD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shd w:val="clear" w:color="auto" w:fill="auto"/>
                  <w:vAlign w:val="center"/>
                </w:tcPr>
                <w:p w14:paraId="00415BC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环保要求</w:t>
                  </w:r>
                </w:p>
              </w:tc>
              <w:tc>
                <w:tcPr>
                  <w:tcW w:w="320" w:type="pct"/>
                  <w:shd w:val="clear" w:color="auto" w:fill="auto"/>
                  <w:vAlign w:val="center"/>
                </w:tcPr>
                <w:p w14:paraId="3E4F02B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74625C5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应实施满足危险废物规范化管理要求的环境管理制度，其中对列入《国家危险废物名录》的危险废物应严格按照有关规定进行管理。</w:t>
                  </w:r>
                </w:p>
              </w:tc>
              <w:tc>
                <w:tcPr>
                  <w:tcW w:w="1629" w:type="pct"/>
                  <w:vAlign w:val="center"/>
                </w:tcPr>
                <w:p w14:paraId="07A0392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建设单位对危险废物进行规范化管理要求，危险废物定期交由具有相应资质的单位进行处理处置。</w:t>
                  </w:r>
                </w:p>
              </w:tc>
              <w:tc>
                <w:tcPr>
                  <w:tcW w:w="565" w:type="pct"/>
                  <w:vAlign w:val="center"/>
                </w:tcPr>
                <w:p w14:paraId="46872B5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282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4A709592">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45BAD0C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47598EA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应满足GB12348中所规定的2类声环境功能区工业企业厂界环境噪声排放限值要求。</w:t>
                  </w:r>
                </w:p>
              </w:tc>
              <w:tc>
                <w:tcPr>
                  <w:tcW w:w="1629" w:type="pct"/>
                  <w:vAlign w:val="center"/>
                </w:tcPr>
                <w:p w14:paraId="7094F91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根据噪声环境预测结果可知，项目厂界噪声排放满足3类声环境功能区排放限值的要求。</w:t>
                  </w:r>
                </w:p>
              </w:tc>
              <w:tc>
                <w:tcPr>
                  <w:tcW w:w="565" w:type="pct"/>
                  <w:vAlign w:val="center"/>
                </w:tcPr>
                <w:p w14:paraId="10CA47D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974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shd w:val="clear" w:color="auto" w:fill="auto"/>
                  <w:vAlign w:val="center"/>
                </w:tcPr>
                <w:p w14:paraId="20DF776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回收技术要求</w:t>
                  </w:r>
                </w:p>
              </w:tc>
              <w:tc>
                <w:tcPr>
                  <w:tcW w:w="320" w:type="pct"/>
                  <w:shd w:val="clear" w:color="auto" w:fill="auto"/>
                  <w:vAlign w:val="center"/>
                </w:tcPr>
                <w:p w14:paraId="15364DA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4F817827">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收到报废机动车后，应检查发动机、散热器、变速器、差速器、油箱和燃料罐等总成部件的密封、破损情况。对于出现泄漏的总成部件，应采取适当的方式收集泄漏的液体或封住泄漏处，防止废液渗入地下。</w:t>
                  </w:r>
                </w:p>
              </w:tc>
              <w:tc>
                <w:tcPr>
                  <w:tcW w:w="1629" w:type="pct"/>
                  <w:vAlign w:val="center"/>
                </w:tcPr>
                <w:p w14:paraId="47CEE9C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建设单位收到报废机动车后，</w:t>
                  </w:r>
                  <w:r>
                    <w:rPr>
                      <w:rFonts w:hint="eastAsia" w:cs="Times New Roman"/>
                      <w:color w:val="auto"/>
                      <w:kern w:val="2"/>
                      <w:sz w:val="21"/>
                      <w:szCs w:val="21"/>
                      <w:highlight w:val="none"/>
                      <w:lang w:val="en-US" w:eastAsia="zh-CN" w:bidi="ar-SA"/>
                    </w:rPr>
                    <w:t>应立即</w:t>
                  </w:r>
                  <w:r>
                    <w:rPr>
                      <w:rFonts w:hint="eastAsia" w:ascii="Times New Roman" w:hAnsi="Times New Roman" w:cs="Times New Roman"/>
                      <w:color w:val="auto"/>
                      <w:kern w:val="2"/>
                      <w:sz w:val="21"/>
                      <w:szCs w:val="21"/>
                      <w:highlight w:val="none"/>
                      <w:lang w:val="en-US" w:eastAsia="zh-CN" w:bidi="ar-SA"/>
                    </w:rPr>
                    <w:t>检查发动机、散热器、变速器、差速器、油箱和燃料罐等总成部件的密封、破损情况。对于出现泄漏的总成部件，采取</w:t>
                  </w:r>
                  <w:r>
                    <w:rPr>
                      <w:rFonts w:hint="eastAsia" w:cs="Times New Roman"/>
                      <w:color w:val="auto"/>
                      <w:kern w:val="2"/>
                      <w:sz w:val="21"/>
                      <w:szCs w:val="21"/>
                      <w:highlight w:val="none"/>
                      <w:lang w:val="en-US" w:eastAsia="zh-CN" w:bidi="ar-SA"/>
                    </w:rPr>
                    <w:t>密闭抽吸</w:t>
                  </w:r>
                  <w:r>
                    <w:rPr>
                      <w:rFonts w:hint="eastAsia" w:ascii="Times New Roman" w:hAnsi="Times New Roman" w:cs="Times New Roman"/>
                      <w:color w:val="auto"/>
                      <w:kern w:val="2"/>
                      <w:sz w:val="21"/>
                      <w:szCs w:val="21"/>
                      <w:highlight w:val="none"/>
                      <w:lang w:val="en-US" w:eastAsia="zh-CN" w:bidi="ar-SA"/>
                    </w:rPr>
                    <w:t>的方式收集泄漏的液体或封住泄漏处。</w:t>
                  </w:r>
                </w:p>
              </w:tc>
              <w:tc>
                <w:tcPr>
                  <w:tcW w:w="565" w:type="pct"/>
                  <w:vAlign w:val="center"/>
                </w:tcPr>
                <w:p w14:paraId="407965F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9A5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restart"/>
                  <w:shd w:val="clear" w:color="auto" w:fill="auto"/>
                  <w:vAlign w:val="center"/>
                </w:tcPr>
                <w:p w14:paraId="0B89CC4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贮存技术要求</w:t>
                  </w:r>
                </w:p>
              </w:tc>
              <w:tc>
                <w:tcPr>
                  <w:tcW w:w="320" w:type="pct"/>
                  <w:shd w:val="clear" w:color="auto" w:fill="auto"/>
                  <w:vAlign w:val="center"/>
                </w:tcPr>
                <w:p w14:paraId="29D8C76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3F2AC01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贮存：1）所有车辆应避免侧放、倒放；2）机动车如需叠放，应使上下车辆的重心尽量重合，且不应超过3层。2层和3层叠放时，高度分别不应超过3m和4.5m。大型车辆应单层平置。采用框架结构存放的，要保证安全性，并易于装卸。</w:t>
                  </w:r>
                </w:p>
              </w:tc>
              <w:tc>
                <w:tcPr>
                  <w:tcW w:w="1629" w:type="pct"/>
                  <w:vAlign w:val="center"/>
                </w:tcPr>
                <w:p w14:paraId="494F366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项目机动车叠放不超过3层，高度分别不超过3米/4.5米。不涉及大型车辆。采用框架结构存放的，保证安全性，并易装卸。</w:t>
                  </w:r>
                </w:p>
              </w:tc>
              <w:tc>
                <w:tcPr>
                  <w:tcW w:w="565" w:type="pct"/>
                  <w:vAlign w:val="center"/>
                </w:tcPr>
                <w:p w14:paraId="581D405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1F5F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291C9B2E">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2419B62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330234A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固体废物贮存：1）固体废物的贮存设施建设应符合GB18599、GB18597、HJ2025的要求；2）一般工业固体废物贮存设施及包装物应按GB15562.2进行标识，危险废物贮存设施及包装物的标志应符合GB18597的要求。所有固体废物避免混合、混放；3）妥善处置固体废物，不应非法转移、倾倒、利用和处置；4）废弃电器、铅酸蓄电池贮存场地不得有明火；5）对拆解后的所有固体废物分类贮存和标识。</w:t>
                  </w:r>
                </w:p>
              </w:tc>
              <w:tc>
                <w:tcPr>
                  <w:tcW w:w="1629" w:type="pct"/>
                  <w:vAlign w:val="center"/>
                </w:tcPr>
                <w:p w14:paraId="0075CD0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本项目的固体废物的贮存设施建设按照GB18599、GB18597、HJ2025的要求执行；2）本项目按照GB15562.2一般工业固体废物贮存设施及包装物，按GB18597标识危险废物贮存设施及包装物。所有固体废物分开暂存；3）项目一般固体废物首先考虑分类外售，不能外售的交由环卫部门处置，危险废物定期交由有资质单位处置；4）项目废气电器、废酸蓄电池贮存场地无明火；5）对拆解后的所有固体废物分类贮存和标识。</w:t>
                  </w:r>
                </w:p>
              </w:tc>
              <w:tc>
                <w:tcPr>
                  <w:tcW w:w="565" w:type="pct"/>
                  <w:vAlign w:val="center"/>
                </w:tcPr>
                <w:p w14:paraId="0844E0A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B82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vMerge w:val="continue"/>
                  <w:shd w:val="clear" w:color="auto" w:fill="auto"/>
                  <w:vAlign w:val="center"/>
                </w:tcPr>
                <w:p w14:paraId="613C9FD2">
                  <w:pPr>
                    <w:jc w:val="center"/>
                    <w:rPr>
                      <w:rFonts w:hint="eastAsia" w:ascii="Times New Roman" w:hAnsi="Times New Roman" w:cs="Times New Roman"/>
                      <w:color w:val="auto"/>
                      <w:kern w:val="2"/>
                      <w:sz w:val="21"/>
                      <w:szCs w:val="21"/>
                      <w:highlight w:val="none"/>
                      <w:lang w:val="en-US" w:eastAsia="zh-CN" w:bidi="ar-SA"/>
                    </w:rPr>
                  </w:pPr>
                </w:p>
              </w:tc>
              <w:tc>
                <w:tcPr>
                  <w:tcW w:w="320" w:type="pct"/>
                  <w:shd w:val="clear" w:color="auto" w:fill="auto"/>
                  <w:vAlign w:val="center"/>
                </w:tcPr>
                <w:p w14:paraId="495EE1D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41B1286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动力蓄电池贮存：1）动力蓄电池的贮存应按照WB/T1061的贮存要求执行；2）动力蓄电池多层贮存时应采取框架结构并确保承重安全，且便于存取；3）存在漏电、漏液、破损等安全隐患的动力蓄电池应采取适当方式处理，并隔离存放。</w:t>
                  </w:r>
                </w:p>
              </w:tc>
              <w:tc>
                <w:tcPr>
                  <w:tcW w:w="1629" w:type="pct"/>
                  <w:vAlign w:val="center"/>
                </w:tcPr>
                <w:p w14:paraId="2E2A91CB">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本项目不涉及新能源汽车的回收、拆解，故不产生动力蓄电池。</w:t>
                  </w:r>
                </w:p>
              </w:tc>
              <w:tc>
                <w:tcPr>
                  <w:tcW w:w="565" w:type="pct"/>
                  <w:vAlign w:val="center"/>
                </w:tcPr>
                <w:p w14:paraId="7B03F30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34C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6" w:type="pct"/>
                  <w:shd w:val="clear" w:color="auto" w:fill="auto"/>
                  <w:vAlign w:val="center"/>
                </w:tcPr>
                <w:p w14:paraId="4C699F3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拆解技术要求</w:t>
                  </w:r>
                </w:p>
              </w:tc>
              <w:tc>
                <w:tcPr>
                  <w:tcW w:w="320" w:type="pct"/>
                  <w:shd w:val="clear" w:color="auto" w:fill="auto"/>
                  <w:vAlign w:val="center"/>
                </w:tcPr>
                <w:p w14:paraId="5991141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4670CED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一般要求：1）应按照机动车生产企业提供的拆解手册进行合理拆解，没有拆解手册的，参照同类其他车辆的规定拆解；2）报废机动车拆解时，应采用合适工具、设备与工艺，尽可能保证零部件的可再利用性及材料的可回收利用性。</w:t>
                  </w:r>
                </w:p>
              </w:tc>
              <w:tc>
                <w:tcPr>
                  <w:tcW w:w="1629" w:type="pct"/>
                  <w:vAlign w:val="center"/>
                </w:tcPr>
                <w:p w14:paraId="3A26933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项目按照汽车生产企业所提供的拆解信息或拆解手册进行拆解，没有拆解手册的，参照同类其他车辆的规定拆解；2）项目拆解报废机动车零部件时，使用合适的专用工具，保证零部件可再利用性以及材料可回收利用性。</w:t>
                  </w:r>
                </w:p>
              </w:tc>
              <w:tc>
                <w:tcPr>
                  <w:tcW w:w="565" w:type="pct"/>
                  <w:vAlign w:val="center"/>
                </w:tcPr>
                <w:p w14:paraId="3FA66DA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bl>
          <w:p w14:paraId="00D6CF1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表1-5  拟建项目情况与《报废机动车拆解企业污染控制技术规范》相符性分析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9"/>
              <w:gridCol w:w="3535"/>
              <w:gridCol w:w="2659"/>
              <w:gridCol w:w="922"/>
            </w:tblGrid>
            <w:tr w14:paraId="3A2F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Align w:val="center"/>
                </w:tcPr>
                <w:p w14:paraId="1383F83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序号</w:t>
                  </w:r>
                </w:p>
              </w:tc>
              <w:tc>
                <w:tcPr>
                  <w:tcW w:w="2167" w:type="pct"/>
                  <w:vAlign w:val="center"/>
                </w:tcPr>
                <w:p w14:paraId="4DE0410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规范要求</w:t>
                  </w:r>
                </w:p>
              </w:tc>
              <w:tc>
                <w:tcPr>
                  <w:tcW w:w="1630" w:type="pct"/>
                  <w:vAlign w:val="center"/>
                </w:tcPr>
                <w:p w14:paraId="28D924A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项目情况</w:t>
                  </w:r>
                </w:p>
              </w:tc>
              <w:tc>
                <w:tcPr>
                  <w:tcW w:w="565" w:type="pct"/>
                  <w:vAlign w:val="center"/>
                </w:tcPr>
                <w:p w14:paraId="6F6E3C7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结论</w:t>
                  </w:r>
                </w:p>
              </w:tc>
            </w:tr>
            <w:tr w14:paraId="7A09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Align w:val="center"/>
                </w:tcPr>
                <w:p w14:paraId="0EBD1ED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一、</w:t>
                  </w:r>
                </w:p>
              </w:tc>
              <w:tc>
                <w:tcPr>
                  <w:tcW w:w="3797" w:type="pct"/>
                  <w:gridSpan w:val="2"/>
                  <w:vAlign w:val="center"/>
                </w:tcPr>
                <w:p w14:paraId="107992C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基础设施污染控制要求</w:t>
                  </w:r>
                </w:p>
              </w:tc>
              <w:tc>
                <w:tcPr>
                  <w:tcW w:w="565" w:type="pct"/>
                  <w:vAlign w:val="center"/>
                </w:tcPr>
                <w:p w14:paraId="3A4084D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r>
            <w:tr w14:paraId="349C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Align w:val="center"/>
                </w:tcPr>
                <w:p w14:paraId="7409548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4430892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应划分不同的功能区，包括办公区和作业区。作业区应包括：整车贮存区（分为传统燃料机动车区和电动汽车区）；动力蓄电池拆卸区；铅蓄电池拆卸区；电池分类贮存区；拆解区；产品（半成品；不包括电池）贮存区；破碎分选区；一般工业固体废物贮存区；危险废物贮存区。</w:t>
                  </w:r>
                </w:p>
              </w:tc>
              <w:tc>
                <w:tcPr>
                  <w:tcW w:w="1630" w:type="pct"/>
                  <w:vAlign w:val="center"/>
                </w:tcPr>
                <w:p w14:paraId="33A06DC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本项目仅进行燃油机动车拆解，且不涉及破碎，划分了不同功能区，包括办公区、作业区。作业区包括：整车贮存区（分为燃油汽车区和燃油</w:t>
                  </w:r>
                  <w:r>
                    <w:rPr>
                      <w:rFonts w:hint="eastAsia" w:cs="Times New Roman"/>
                      <w:color w:val="auto"/>
                      <w:kern w:val="2"/>
                      <w:sz w:val="21"/>
                      <w:szCs w:val="21"/>
                      <w:highlight w:val="none"/>
                      <w:lang w:val="en-US" w:eastAsia="zh-CN" w:bidi="ar-SA"/>
                    </w:rPr>
                    <w:t>农机</w:t>
                  </w:r>
                  <w:r>
                    <w:rPr>
                      <w:rFonts w:hint="eastAsia" w:ascii="Times New Roman" w:hAnsi="Times New Roman" w:cs="Times New Roman"/>
                      <w:color w:val="auto"/>
                      <w:kern w:val="2"/>
                      <w:sz w:val="21"/>
                      <w:szCs w:val="21"/>
                      <w:highlight w:val="none"/>
                      <w:lang w:val="en-US" w:eastAsia="zh-CN" w:bidi="ar-SA"/>
                    </w:rPr>
                    <w:t>区）；铅蓄电池拆卸区；电池贮存区；拆解区；产品（半成品；不包括电池）贮存区；一般工业固体废物贮存区；危险废物贮存区。</w:t>
                  </w:r>
                </w:p>
              </w:tc>
              <w:tc>
                <w:tcPr>
                  <w:tcW w:w="565" w:type="pct"/>
                  <w:vAlign w:val="center"/>
                </w:tcPr>
                <w:p w14:paraId="779B136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5F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1ED4C4D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56A82F7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厂区内功能区的设计和建设应满足以下要求：a）作业区面积大小和功能区划分应满足拆解作业的需要；b）不同的功能区应具有明显的标识；c）作业区应具有防渗地面和油水收集设施，地面应符合GB50037的防油渗地面要求；d）作业区地面混凝土强度等级不低于C20，厚度不低于150mm，其中物流通道路面和拆解作业区域强度不低于C30，厚度不低于200mm。大型拆解设备承重区域的硬化标准参照设备工艺要求执行；e）拆解区应为封闭或半封闭建筑物；f）破碎分选区应设在封闭区域内，控制工业废气、粉尘和噪声污染；g）危险废物贮存区应设置液体导流和收集装置，地面应无液体积聚，如有冲洗废水应纳入废水收集处理设施处理；h）不同种类的危险废物应单独收集、分类存放，中间有明显间隔；贮存场所应设置警示标识，同时还应满足GB18597中其他相关要求；i）铅蓄电池的拆卸、贮存区的地面应做防酸、防腐、防渗及硬化处理，同时还应满足HJ519中其他相关要求；j）动力蓄电池拆卸、贮存区应满足HJ1186中的相关要求，地面应采用环氧地坪等硬化措施，地面应做防酸、防腐、防渗、硬化及绝缘处理；k）各贮存区应在显著位置设置标识，标明贮存物的类别、名称、规格、注意事项等，根据其特性合理划分贮存区域，采取必要的隔离措施。</w:t>
                  </w:r>
                </w:p>
              </w:tc>
              <w:tc>
                <w:tcPr>
                  <w:tcW w:w="1630" w:type="pct"/>
                  <w:vAlign w:val="center"/>
                </w:tcPr>
                <w:p w14:paraId="652ADCA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本项目按《报废机动车拆解企业污染控制技术规范》（HJ348-2022）规范建设作业区和功能划分，各功能区的大小和分区适合企业的设计拆解能力；各区域面积满足需求，且有明确的界线和明显的标识</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作业区具有防渗地面和油水收集设施，地面符合GB 50037的防油渗地面要求，混凝土强度、等级满足要求</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拆解区为封闭建车间，破碎分选区设在封闭区域内，控制工业废气、粉尘和噪声污染</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危险废物贮存区设置液体导流和收集装置，地面无液体积聚，如有冲洗废水则纳入废水收集处理设施处理</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不同种类的危险废物单独收集、分类存放，贮存场所设置警示标识，满足GB18597中相关要求</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铅蓄电池的拆卸、贮存区的地面做防酸、防腐、防渗及硬化处理，满足HJ 519中相关要求</w:t>
                  </w:r>
                  <w:r>
                    <w:rPr>
                      <w:rFonts w:hint="eastAsia"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动力蓄电池拆卸、贮存区满足HJ1186中的相关要求，地面采用环氧地坪等硬化措施，地面做防酸、防腐、防渗、硬化及绝缘处理</w:t>
                  </w:r>
                  <w:r>
                    <w:rPr>
                      <w:rFonts w:hint="eastAsia" w:cs="Times New Roman"/>
                      <w:color w:val="auto"/>
                      <w:kern w:val="2"/>
                      <w:sz w:val="21"/>
                      <w:szCs w:val="21"/>
                      <w:highlight w:val="none"/>
                      <w:lang w:val="en-US" w:eastAsia="zh-CN" w:bidi="ar-SA"/>
                    </w:rPr>
                    <w:t>；</w:t>
                  </w:r>
                </w:p>
                <w:p w14:paraId="373BD4B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各贮存区在显著位置设置标识，标明贮存物的类别、名称、规格、注意事项等，根据其特性合理划分贮存区域，采取必要的隔离措施</w:t>
                  </w:r>
                  <w:r>
                    <w:rPr>
                      <w:rFonts w:hint="eastAsia" w:cs="Times New Roman"/>
                      <w:color w:val="auto"/>
                      <w:kern w:val="2"/>
                      <w:sz w:val="21"/>
                      <w:szCs w:val="21"/>
                      <w:highlight w:val="none"/>
                      <w:lang w:val="en-US" w:eastAsia="zh-CN" w:bidi="ar-SA"/>
                    </w:rPr>
                    <w:t>。</w:t>
                  </w:r>
                </w:p>
              </w:tc>
              <w:tc>
                <w:tcPr>
                  <w:tcW w:w="565" w:type="pct"/>
                  <w:vAlign w:val="center"/>
                </w:tcPr>
                <w:p w14:paraId="371DAA0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73E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5141D03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624D99EB">
                  <w:pPr>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报废机动车回收拆解企业内的道路应采取硬化措施，如出现破损应及时维修。</w:t>
                  </w:r>
                </w:p>
              </w:tc>
              <w:tc>
                <w:tcPr>
                  <w:tcW w:w="1630" w:type="pct"/>
                  <w:vAlign w:val="center"/>
                </w:tcPr>
                <w:p w14:paraId="75AEC8BD">
                  <w:pPr>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本项目场地面硬化并防渗漏，如出现破损及时维修。</w:t>
                  </w:r>
                </w:p>
              </w:tc>
              <w:tc>
                <w:tcPr>
                  <w:tcW w:w="565" w:type="pct"/>
                  <w:vAlign w:val="center"/>
                </w:tcPr>
                <w:p w14:paraId="1432ED9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B47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7936862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二、</w:t>
                  </w:r>
                </w:p>
              </w:tc>
              <w:tc>
                <w:tcPr>
                  <w:tcW w:w="3797" w:type="pct"/>
                  <w:gridSpan w:val="2"/>
                  <w:vAlign w:val="center"/>
                </w:tcPr>
                <w:p w14:paraId="24882712">
                  <w:pPr>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拆解过程中污染控制要</w:t>
                  </w:r>
                  <w:r>
                    <w:rPr>
                      <w:rFonts w:hint="eastAsia" w:ascii="Times New Roman" w:hAnsi="Times New Roman" w:cs="Times New Roman"/>
                      <w:color w:val="auto"/>
                      <w:kern w:val="2"/>
                      <w:sz w:val="21"/>
                      <w:szCs w:val="21"/>
                      <w:highlight w:val="none"/>
                      <w:lang w:val="en-US" w:eastAsia="zh-CN" w:bidi="ar-SA"/>
                    </w:rPr>
                    <w:t>求</w:t>
                  </w:r>
                </w:p>
              </w:tc>
              <w:tc>
                <w:tcPr>
                  <w:tcW w:w="565" w:type="pct"/>
                  <w:vAlign w:val="center"/>
                </w:tcPr>
                <w:p w14:paraId="7272B177">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r>
            <w:tr w14:paraId="7500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5F839C8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2F51F62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传统燃料报废机动车在开展拆解作业前，应抽排下列气体及液体：燃油、发动机油、变速器/齿轮箱（包括后差速器和/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防止上述气体及液体遗撒或泄漏。</w:t>
                  </w:r>
                </w:p>
              </w:tc>
              <w:tc>
                <w:tcPr>
                  <w:tcW w:w="1630" w:type="pct"/>
                  <w:vAlign w:val="center"/>
                </w:tcPr>
                <w:p w14:paraId="6B057B4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在开展拆解作业前，抽排燃油、发动机油、变速器/齿轮箱（包括后差速器和/或分动器）油、动力转向油、制动液等石油基油或者液态合成润滑剂、冷却液、挡风玻璃清洗液、制冷剂等，并使用专用容器回收贮存。操作场所应有防漏、截流和清污措施，抽排挥发性油液时应通过油气回收装置吸收拆解区域内的挥发性气体，并在报废机动车进入拆解企业后检查是否有废油液的泄漏。如发现有废油液的泄漏后由预备的危险废物相应的专用容器盛装后置于危险废物暂存间妥善处置，防止废液渗入地下。</w:t>
                  </w:r>
                </w:p>
              </w:tc>
              <w:tc>
                <w:tcPr>
                  <w:tcW w:w="565" w:type="pct"/>
                  <w:vAlign w:val="center"/>
                </w:tcPr>
                <w:p w14:paraId="692836C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6B0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6CC333F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58FA8C6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报废电动汽车进场检测时，受损变形以及漏液、漏电、电源供应工作不正常或其他的事故车辆应进行明显标识，及时隔离并优先处理，避免造成环境风险。</w:t>
                  </w:r>
                </w:p>
              </w:tc>
              <w:tc>
                <w:tcPr>
                  <w:tcW w:w="1630" w:type="pct"/>
                  <w:vAlign w:val="center"/>
                </w:tcPr>
                <w:p w14:paraId="1D04205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本项目在报废机动车进入厂区后如发现有受损变形以及漏液、漏电、电源供应工作不正常或其他的事故车辆进行标识隔离并优先处理。</w:t>
                  </w:r>
                </w:p>
              </w:tc>
              <w:tc>
                <w:tcPr>
                  <w:tcW w:w="565" w:type="pct"/>
                  <w:vAlign w:val="center"/>
                </w:tcPr>
                <w:p w14:paraId="0E7E60B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C2E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4A01C76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5C34BD7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电动汽车在开展拆解作业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1630" w:type="pct"/>
                  <w:vAlign w:val="center"/>
                </w:tcPr>
                <w:p w14:paraId="0315395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本项目配备防静电设备彻底抽排制冷剂，并用专用容器回收储存，避免电解质和有机溶剂泄漏。</w:t>
                  </w:r>
                </w:p>
              </w:tc>
              <w:tc>
                <w:tcPr>
                  <w:tcW w:w="565" w:type="pct"/>
                  <w:vAlign w:val="center"/>
                </w:tcPr>
                <w:p w14:paraId="65920E9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B01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1749DC4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167" w:type="pct"/>
                  <w:vAlign w:val="center"/>
                </w:tcPr>
                <w:p w14:paraId="41E995F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动力蓄电池不应与铅蓄电池混合贮存。</w:t>
                  </w:r>
                </w:p>
              </w:tc>
              <w:tc>
                <w:tcPr>
                  <w:tcW w:w="1630" w:type="pct"/>
                  <w:vAlign w:val="center"/>
                </w:tcPr>
                <w:p w14:paraId="7524577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本项目不涉及新能源汽车回收拆解，无动力蓄电池。</w:t>
                  </w:r>
                </w:p>
              </w:tc>
              <w:tc>
                <w:tcPr>
                  <w:tcW w:w="565" w:type="pct"/>
                  <w:vAlign w:val="center"/>
                </w:tcPr>
                <w:p w14:paraId="232B75E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544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62DC071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2167" w:type="pct"/>
                  <w:vAlign w:val="center"/>
                </w:tcPr>
                <w:p w14:paraId="50AA391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报废机动车回收拆解企业不应在未完成各项拆解作业前对报废机动车进行破碎处理或者直接进行熔炼处理。</w:t>
                  </w:r>
                </w:p>
              </w:tc>
              <w:tc>
                <w:tcPr>
                  <w:tcW w:w="1630" w:type="pct"/>
                  <w:vAlign w:val="center"/>
                </w:tcPr>
                <w:p w14:paraId="3B8BE9E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本项目在拆解完成后进行剪断、压块工序的操作。项目不涉及破碎处理和熔炼处理。</w:t>
                  </w:r>
                </w:p>
              </w:tc>
              <w:tc>
                <w:tcPr>
                  <w:tcW w:w="565" w:type="pct"/>
                  <w:vAlign w:val="center"/>
                </w:tcPr>
                <w:p w14:paraId="2026381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6350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756F86C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p>
              </w:tc>
              <w:tc>
                <w:tcPr>
                  <w:tcW w:w="2167" w:type="pct"/>
                  <w:vAlign w:val="center"/>
                </w:tcPr>
                <w:p w14:paraId="1644FB8F">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报废机动车回收拆解企业不应焚烧报废机动车拆解过程中产生的废电线电缆、废轮胎和其他废物。</w:t>
                  </w:r>
                </w:p>
              </w:tc>
              <w:tc>
                <w:tcPr>
                  <w:tcW w:w="1630" w:type="pct"/>
                  <w:vAlign w:val="center"/>
                </w:tcPr>
                <w:p w14:paraId="7DF79E9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本项目厂区内不设置焚烧处理工序。</w:t>
                  </w:r>
                </w:p>
              </w:tc>
              <w:tc>
                <w:tcPr>
                  <w:tcW w:w="565" w:type="pct"/>
                  <w:vAlign w:val="center"/>
                </w:tcPr>
                <w:p w14:paraId="2CB0AC5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79C3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18F4ED4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7</w:t>
                  </w:r>
                </w:p>
              </w:tc>
              <w:tc>
                <w:tcPr>
                  <w:tcW w:w="2167" w:type="pct"/>
                  <w:vAlign w:val="center"/>
                </w:tcPr>
                <w:p w14:paraId="2AC8CD1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报废机动车拆解产生的废旧玻璃、报废机动车破碎残余物、引爆后的安全气囊等应避免危险废物的沾染，未沾染危险废物的应按一般工业固体废物进行管理。</w:t>
                  </w:r>
                </w:p>
              </w:tc>
              <w:tc>
                <w:tcPr>
                  <w:tcW w:w="1630" w:type="pct"/>
                  <w:vAlign w:val="center"/>
                </w:tcPr>
                <w:p w14:paraId="495EFC9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本项目报废机动车拆解产生的废旧玻璃、报废机动车破碎残余物、引爆后的安全气囊等分区处理避免危险废物的沾染，未沾染危险废物的按一般工业固体废物外售的处理。</w:t>
                  </w:r>
                </w:p>
              </w:tc>
              <w:tc>
                <w:tcPr>
                  <w:tcW w:w="565" w:type="pct"/>
                  <w:vAlign w:val="center"/>
                </w:tcPr>
                <w:p w14:paraId="69173AC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FAC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28CFAB76">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w:t>
                  </w:r>
                </w:p>
              </w:tc>
              <w:tc>
                <w:tcPr>
                  <w:tcW w:w="2167" w:type="pct"/>
                  <w:vAlign w:val="center"/>
                </w:tcPr>
                <w:p w14:paraId="172A63D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拆解产生的废铅蓄电池、废矿物油、废电路板、废尾气净化催化剂以及含有或沾染危险废物的废弃包装物、容器等依据《国家危险废物名录》属于危险废物的，应按照危险废物贮存管理相关要求进行分区、分类贮存。废弃含油抹布和劳保用品宜集中收集。</w:t>
                  </w:r>
                </w:p>
              </w:tc>
              <w:tc>
                <w:tcPr>
                  <w:tcW w:w="1630" w:type="pct"/>
                  <w:vAlign w:val="center"/>
                </w:tcPr>
                <w:p w14:paraId="468DF3C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报废机动车拆解产生的废铅蓄电池、废矿物油、废电路板、废尾气净化催化剂以及含有或沾染危险废物的废弃包装物、容器等依据《国家危险废物名录》属于危险废物的，按照危险废物贮存管理相关要求暂存于危废暂存间进行分区、分类贮存。废弃含油抹布和劳保用品进行集中收集。厂区内危废暂存间暂存后交由有资质的单位收集处置。</w:t>
                  </w:r>
                </w:p>
              </w:tc>
              <w:tc>
                <w:tcPr>
                  <w:tcW w:w="565" w:type="pct"/>
                  <w:vAlign w:val="center"/>
                </w:tcPr>
                <w:p w14:paraId="195214C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79B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326935A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9</w:t>
                  </w:r>
                </w:p>
              </w:tc>
              <w:tc>
                <w:tcPr>
                  <w:tcW w:w="2167" w:type="pct"/>
                  <w:vAlign w:val="center"/>
                </w:tcPr>
                <w:p w14:paraId="6AD1210B">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报废机动车回收拆解企业不应倾倒铅蓄电池内的电解液、铅块和铅膏等废物。对于破损的铅蓄电池，应单独贮存，并采取防止电解液泄漏的措施。</w:t>
                  </w:r>
                </w:p>
              </w:tc>
              <w:tc>
                <w:tcPr>
                  <w:tcW w:w="1630" w:type="pct"/>
                  <w:vAlign w:val="center"/>
                </w:tcPr>
                <w:p w14:paraId="46A1E2F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项目不对铅蓄电池内的电解液、铅块和铅膏等废物进行二次拆解。对于破损的铅蓄电池，用密闭容器单独贮存防止电解液泄漏。</w:t>
                  </w:r>
                </w:p>
              </w:tc>
              <w:tc>
                <w:tcPr>
                  <w:tcW w:w="565" w:type="pct"/>
                  <w:vAlign w:val="center"/>
                </w:tcPr>
                <w:p w14:paraId="4B35EE3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76BA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37F5984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p>
              </w:tc>
              <w:tc>
                <w:tcPr>
                  <w:tcW w:w="2167" w:type="pct"/>
                  <w:vAlign w:val="center"/>
                </w:tcPr>
                <w:p w14:paraId="1110DF5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报废机动车拆解产生的产物和固体废物应合理分类，不能自行利用处置的，分别委托具有相关资质、相应处理能力或经营范围的单位利用和处置。</w:t>
                  </w:r>
                </w:p>
              </w:tc>
              <w:tc>
                <w:tcPr>
                  <w:tcW w:w="1630" w:type="pct"/>
                  <w:vAlign w:val="center"/>
                </w:tcPr>
                <w:p w14:paraId="001692E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本项目拆解过程中产生的不可回收利用的工业固体废物属于危险废物的在厂区内危废暂存间暂存后交由有资质的单位收集处置，属于一般工业固体废物的外售处理。</w:t>
                  </w:r>
                </w:p>
              </w:tc>
              <w:tc>
                <w:tcPr>
                  <w:tcW w:w="565" w:type="pct"/>
                  <w:vAlign w:val="center"/>
                </w:tcPr>
                <w:p w14:paraId="15BED05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68A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4DEA7FF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11</w:t>
                  </w:r>
                </w:p>
              </w:tc>
              <w:tc>
                <w:tcPr>
                  <w:tcW w:w="2167" w:type="pct"/>
                  <w:vAlign w:val="center"/>
                </w:tcPr>
                <w:p w14:paraId="04F1621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拆解产物应符合国家及地方处理处置要求，其中主要拆解产物特性及去向见附录A。如报废机动车回收拆解企业具备与报废机动车拆解处理相关的深加工或二次加工经营业务，应当符合其他相关污染控制要求。</w:t>
                  </w:r>
                </w:p>
              </w:tc>
              <w:tc>
                <w:tcPr>
                  <w:tcW w:w="1630" w:type="pct"/>
                  <w:vAlign w:val="center"/>
                </w:tcPr>
                <w:p w14:paraId="304C2CA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本项目拆解过程中产生的各类废物分类贮存并交由相关单位处理，本项目不进行深加工或二次加工。</w:t>
                  </w:r>
                </w:p>
              </w:tc>
              <w:tc>
                <w:tcPr>
                  <w:tcW w:w="565" w:type="pct"/>
                  <w:vAlign w:val="center"/>
                </w:tcPr>
                <w:p w14:paraId="67C29D9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0632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2260A37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12</w:t>
                  </w:r>
                </w:p>
              </w:tc>
              <w:tc>
                <w:tcPr>
                  <w:tcW w:w="2167" w:type="pct"/>
                  <w:vAlign w:val="center"/>
                </w:tcPr>
                <w:p w14:paraId="44313F6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报废机动车油箱中的燃料（汽油、柴油、天然气、液化石油气、甲醇等）应分类收集。</w:t>
                  </w:r>
                </w:p>
              </w:tc>
              <w:tc>
                <w:tcPr>
                  <w:tcW w:w="1630" w:type="pct"/>
                  <w:vAlign w:val="center"/>
                </w:tcPr>
                <w:p w14:paraId="3839BDB5">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本项目</w:t>
                  </w:r>
                  <w:r>
                    <w:rPr>
                      <w:rFonts w:hint="eastAsia" w:ascii="Times New Roman" w:hAnsi="Times New Roman" w:cs="Times New Roman"/>
                      <w:color w:val="auto"/>
                      <w:kern w:val="2"/>
                      <w:sz w:val="21"/>
                      <w:szCs w:val="21"/>
                      <w:highlight w:val="none"/>
                      <w:lang w:val="en-US" w:eastAsia="zh-CN" w:bidi="ar-SA"/>
                    </w:rPr>
                    <w:t>配备分类存放各类油液、燃料的容器，分类收集报废机动车油箱中的燃料（汽油、柴油、天然气、液化石油气、甲醇等）。</w:t>
                  </w:r>
                </w:p>
              </w:tc>
              <w:tc>
                <w:tcPr>
                  <w:tcW w:w="565" w:type="pct"/>
                  <w:vAlign w:val="center"/>
                </w:tcPr>
                <w:p w14:paraId="35B2785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44D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562E75F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三、</w:t>
                  </w:r>
                </w:p>
              </w:tc>
              <w:tc>
                <w:tcPr>
                  <w:tcW w:w="3797" w:type="pct"/>
                  <w:gridSpan w:val="2"/>
                  <w:vAlign w:val="center"/>
                </w:tcPr>
                <w:p w14:paraId="5C6D535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企业污染物排放要求</w:t>
                  </w:r>
                </w:p>
              </w:tc>
              <w:tc>
                <w:tcPr>
                  <w:tcW w:w="565" w:type="pct"/>
                  <w:vAlign w:val="center"/>
                </w:tcPr>
                <w:p w14:paraId="49E3DDA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r>
            <w:tr w14:paraId="32F0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6E5B241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51ACB4E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报废机动车回收拆解企业排放废气中颗粒物、挥发性有机物（VOCs）等应符合GB16297、GB37822规定的排放要求。地方污染物排放标准有更严格要求的，从其规定。</w:t>
                  </w:r>
                </w:p>
              </w:tc>
              <w:tc>
                <w:tcPr>
                  <w:tcW w:w="1630" w:type="pct"/>
                  <w:vAlign w:val="center"/>
                </w:tcPr>
                <w:p w14:paraId="725178E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本项目产生的挥发性有机物、颗粒物经处理后均可做到达标排放。</w:t>
                  </w:r>
                </w:p>
              </w:tc>
              <w:tc>
                <w:tcPr>
                  <w:tcW w:w="565" w:type="pct"/>
                  <w:vAlign w:val="center"/>
                </w:tcPr>
                <w:p w14:paraId="215A549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494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59ED6F5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12D60F1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报废机动车回收拆解企业应在厂区及易产生粉尘的生产环节采取有效防尘、降尘、集尘措施，拆解过程产生的粉尘等应收集净化后排放。</w:t>
                  </w:r>
                </w:p>
              </w:tc>
              <w:tc>
                <w:tcPr>
                  <w:tcW w:w="1630" w:type="pct"/>
                  <w:vAlign w:val="center"/>
                </w:tcPr>
                <w:p w14:paraId="62674AD0">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本项目配备布袋除尘器处理拆解过程产生的粉尘。</w:t>
                  </w:r>
                </w:p>
              </w:tc>
              <w:tc>
                <w:tcPr>
                  <w:tcW w:w="565" w:type="pct"/>
                  <w:vAlign w:val="center"/>
                </w:tcPr>
                <w:p w14:paraId="13C805E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E96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4D2556F1">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381FF37B">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报废机动车回收拆解企业的恶臭污染物排放应满足GB14554中的相关要求。</w:t>
                  </w:r>
                </w:p>
              </w:tc>
              <w:tc>
                <w:tcPr>
                  <w:tcW w:w="1630" w:type="pct"/>
                  <w:vAlign w:val="center"/>
                </w:tcPr>
                <w:p w14:paraId="582495CA">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本项目废机动车回收拆解企业的恶臭污染物排放应满足GB14554中的相关要求。</w:t>
                  </w:r>
                </w:p>
              </w:tc>
              <w:tc>
                <w:tcPr>
                  <w:tcW w:w="565" w:type="pct"/>
                  <w:vAlign w:val="center"/>
                </w:tcPr>
                <w:p w14:paraId="0953B1C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781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4AD4FE4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4</w:t>
                  </w:r>
                </w:p>
              </w:tc>
              <w:tc>
                <w:tcPr>
                  <w:tcW w:w="2167" w:type="pct"/>
                  <w:vAlign w:val="center"/>
                </w:tcPr>
                <w:p w14:paraId="1B79841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应依照《消耗臭氧层物质管理条例》，对消耗臭氧层物质和氢氟碳化物进行分类回收，并交由专业单位进行利用或无害化处置，不应直接排放。涉及《中国受控消耗臭氧层物质清单》所列的废制冷剂应按照国家相关规定进行管理。</w:t>
                  </w:r>
                </w:p>
              </w:tc>
              <w:tc>
                <w:tcPr>
                  <w:tcW w:w="1630" w:type="pct"/>
                  <w:vAlign w:val="center"/>
                </w:tcPr>
                <w:p w14:paraId="6BCBFA14">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w:t>
                  </w:r>
                  <w:r>
                    <w:rPr>
                      <w:rFonts w:hint="eastAsia" w:ascii="Times New Roman" w:hAnsi="Times New Roman" w:cs="Times New Roman"/>
                      <w:color w:val="auto"/>
                      <w:kern w:val="2"/>
                      <w:sz w:val="21"/>
                      <w:szCs w:val="21"/>
                      <w:highlight w:val="none"/>
                      <w:lang w:val="en-US" w:eastAsia="zh-CN" w:bidi="ar-SA"/>
                    </w:rPr>
                    <w:t>项目严格按照《消耗臭氧层物质管理条例》对《中国受控消耗臭氧层物质清单》所列的废制冷剂应按照国家相关规定进行管理。</w:t>
                  </w:r>
                </w:p>
              </w:tc>
              <w:tc>
                <w:tcPr>
                  <w:tcW w:w="565" w:type="pct"/>
                  <w:vAlign w:val="center"/>
                </w:tcPr>
                <w:p w14:paraId="67AD369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3CE9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7A3F268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w:t>
                  </w:r>
                </w:p>
              </w:tc>
              <w:tc>
                <w:tcPr>
                  <w:tcW w:w="2167" w:type="pct"/>
                  <w:vAlign w:val="center"/>
                </w:tcPr>
                <w:p w14:paraId="241CB7BD">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报废机动车回收拆解企业应采取隔音降噪措施，减小厂界噪声，满足GB12348中的相关要求。</w:t>
                  </w:r>
                </w:p>
              </w:tc>
              <w:tc>
                <w:tcPr>
                  <w:tcW w:w="1630" w:type="pct"/>
                  <w:vAlign w:val="center"/>
                </w:tcPr>
                <w:p w14:paraId="3830FF8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本项目采取隔音降噪措施，减小厂界噪声，经预测厂界噪声满足GB12348中的3类标准要求。</w:t>
                  </w:r>
                </w:p>
              </w:tc>
              <w:tc>
                <w:tcPr>
                  <w:tcW w:w="565" w:type="pct"/>
                  <w:vAlign w:val="center"/>
                </w:tcPr>
                <w:p w14:paraId="1EC2DF82">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7C7B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10A3D1D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p>
              </w:tc>
              <w:tc>
                <w:tcPr>
                  <w:tcW w:w="2167" w:type="pct"/>
                  <w:vAlign w:val="center"/>
                </w:tcPr>
                <w:p w14:paraId="5EC8986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一般工业固体废物中不应混入危险废物。拆解过程中产生的一般工业固体废物应满足GB18599的其他相关要求；危险废物应满足GB18597中的其他相关要求。</w:t>
                  </w:r>
                </w:p>
              </w:tc>
              <w:tc>
                <w:tcPr>
                  <w:tcW w:w="1630" w:type="pct"/>
                  <w:vAlign w:val="center"/>
                </w:tcPr>
                <w:p w14:paraId="7D6A522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本项目拆解过程中产生的不可回收利用的工业固体废物属于危险废物的在厂区内危废暂存间暂存后交由有资质的单位收集处置，属于一般工业固体废物的外售处理。</w:t>
                  </w:r>
                </w:p>
              </w:tc>
              <w:tc>
                <w:tcPr>
                  <w:tcW w:w="565" w:type="pct"/>
                  <w:vAlign w:val="center"/>
                </w:tcPr>
                <w:p w14:paraId="2F507A23">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20CD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6197C08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四</w:t>
                  </w:r>
                </w:p>
              </w:tc>
              <w:tc>
                <w:tcPr>
                  <w:tcW w:w="3797" w:type="pct"/>
                  <w:gridSpan w:val="2"/>
                  <w:vAlign w:val="center"/>
                </w:tcPr>
                <w:p w14:paraId="34FB609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企业环境管理、环境监测要求</w:t>
                  </w:r>
                </w:p>
              </w:tc>
              <w:tc>
                <w:tcPr>
                  <w:tcW w:w="565" w:type="pct"/>
                  <w:vAlign w:val="center"/>
                </w:tcPr>
                <w:p w14:paraId="552921C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r>
            <w:tr w14:paraId="11AC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2171F91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2167" w:type="pct"/>
                  <w:vAlign w:val="center"/>
                </w:tcPr>
                <w:p w14:paraId="6B19ADC7">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应建立、健全一般工业固体废物污染环境防治责任制度，采取以下措施防止造成环境污染：a）建立一般工业固体废物台账记录，应满足一般工业固体废物管理台账制定指南相关要求；b）分类收集后贮存应设置标识标签，注明拆解产物的名称、贮存时间、数量等信息；贮存过程应采取防止货物和包装损坏或泄漏。</w:t>
                  </w:r>
                </w:p>
              </w:tc>
              <w:tc>
                <w:tcPr>
                  <w:tcW w:w="1630" w:type="pct"/>
                  <w:vAlign w:val="center"/>
                </w:tcPr>
                <w:p w14:paraId="1BB733C6">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w:t>
                  </w:r>
                  <w:r>
                    <w:rPr>
                      <w:rFonts w:hint="eastAsia" w:ascii="Times New Roman" w:hAnsi="Times New Roman" w:cs="Times New Roman"/>
                      <w:color w:val="auto"/>
                      <w:kern w:val="2"/>
                      <w:sz w:val="21"/>
                      <w:szCs w:val="21"/>
                      <w:highlight w:val="none"/>
                      <w:lang w:val="en-US" w:eastAsia="zh-CN" w:bidi="ar-SA"/>
                    </w:rPr>
                    <w:t>项目拟建立一般工业固体废物台账记录，满足一般工业固体废物管理台账制定指南相关要求；并分类收集后贮存应设置标识标签，注明拆解产物的名称、贮存时间、数量等信息；贮存过程采取防止货物和包装损坏或泄漏。</w:t>
                  </w:r>
                </w:p>
              </w:tc>
              <w:tc>
                <w:tcPr>
                  <w:tcW w:w="565" w:type="pct"/>
                  <w:vAlign w:val="center"/>
                </w:tcPr>
                <w:p w14:paraId="73577B9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587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7064829D">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2</w:t>
                  </w:r>
                </w:p>
              </w:tc>
              <w:tc>
                <w:tcPr>
                  <w:tcW w:w="2167" w:type="pct"/>
                  <w:vAlign w:val="center"/>
                </w:tcPr>
                <w:p w14:paraId="66463394">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应建立、健全污染环境防治责任制度，采取以下措施严格控制危险废物造成环境污染：a）制定危险废物管理计划和建立危险废物台账记录，应满足HJ1259相关要求；b）交由持有危险废物经营许可证并具有相关经营范围的企业进行处理，并签订委托处理合同；c）拆解过程产生的固体废物危险特性不明时，按照相关要求开展危险废物鉴别工作；d）转移危险废物时，应严格执行《危险废物转移管理办法》有关要求。</w:t>
                  </w:r>
                </w:p>
              </w:tc>
              <w:tc>
                <w:tcPr>
                  <w:tcW w:w="1630" w:type="pct"/>
                  <w:vAlign w:val="center"/>
                </w:tcPr>
                <w:p w14:paraId="5E9164D1">
                  <w:pPr>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w:t>
                  </w:r>
                  <w:r>
                    <w:rPr>
                      <w:rFonts w:hint="eastAsia" w:ascii="Times New Roman" w:hAnsi="Times New Roman" w:cs="Times New Roman"/>
                      <w:color w:val="auto"/>
                      <w:kern w:val="2"/>
                      <w:sz w:val="21"/>
                      <w:szCs w:val="21"/>
                      <w:highlight w:val="none"/>
                      <w:lang w:val="en-US" w:eastAsia="zh-CN" w:bidi="ar-SA"/>
                    </w:rPr>
                    <w:t>项目拟建立制定危险废物管理计划和建立危险废物台账记录，经营情况记录保存3年以上。并与持有危险废物经营许可证并具有相关经营范围的企业进行处理签订委托处理合同。对于拆解过程产生的固体废物危险特性不明时，按照相关要求开展危险废物鉴别工作。转移危险废物时，严格按《危险废物转移管理办法》有关要求执行。</w:t>
                  </w:r>
                </w:p>
              </w:tc>
              <w:tc>
                <w:tcPr>
                  <w:tcW w:w="565" w:type="pct"/>
                  <w:vAlign w:val="center"/>
                </w:tcPr>
                <w:p w14:paraId="6D7B515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1E41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shd w:val="clear" w:color="auto" w:fill="auto"/>
                  <w:vAlign w:val="center"/>
                </w:tcPr>
                <w:p w14:paraId="21C2560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2167" w:type="pct"/>
                  <w:vAlign w:val="center"/>
                </w:tcPr>
                <w:p w14:paraId="7B211206">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报废机动车回收拆解企业应按照HJ819等规定，建立企业监测制度，制定自行监测方案，对污染物排放状况及其周边环境质量的影响开展自行监测，保存原始监测记录，并公布监测结果，监测报告记录应至少保存3年；自行监测方案应包括企业基本情况、监测点位、监测频次、监测指标（含特征污染物）、执行排放标准及其限值、监测方法和仪器、监测质量控制、监测点位示意图、监测结果信息公开时限、应急监测方案等；报废机动车回收拆解企业不具备自行监测能力的，应委托具有监测服务资质的单位监测。</w:t>
                  </w:r>
                </w:p>
              </w:tc>
              <w:tc>
                <w:tcPr>
                  <w:tcW w:w="1630" w:type="pct"/>
                  <w:vAlign w:val="center"/>
                </w:tcPr>
                <w:p w14:paraId="2289EBC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报废机动车回收拆解企业按照HJ819等规定，建立企业监测制度，制定自行监测方案，对污染物排放状况及其周边环境质量的影响开展自行监测，保存原始监测记录，并公布监测结果，监测报告记录保存3年；自行监测方案包括企业基本情况、监测点位、监测频次、监测指标（含特征污染物）、执行排放标准及其限值、监测方法和仪器、监测质量控制、监测点位示意图、监测结果信息公开时限、应急监测方案等；并委托具有监测服务资质的单位监测。</w:t>
                  </w:r>
                </w:p>
              </w:tc>
              <w:tc>
                <w:tcPr>
                  <w:tcW w:w="565" w:type="pct"/>
                  <w:vAlign w:val="center"/>
                </w:tcPr>
                <w:p w14:paraId="03099ED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bl>
          <w:p w14:paraId="25622977">
            <w:pPr>
              <w:pStyle w:val="83"/>
              <w:ind w:left="0" w:leftChars="0" w:firstLine="0" w:firstLineChars="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6</w:t>
            </w:r>
            <w:r>
              <w:rPr>
                <w:rFonts w:hint="eastAsia" w:ascii="Times New Roman" w:hAnsi="Times New Roman" w:cs="Times New Roman"/>
                <w:b/>
                <w:bCs/>
                <w:color w:val="auto"/>
                <w:sz w:val="24"/>
                <w:lang w:val="en-US" w:eastAsia="zh-CN"/>
              </w:rPr>
              <w:t>、VOCs相关产业政策符合性分析</w:t>
            </w:r>
          </w:p>
          <w:p w14:paraId="7F7D46B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表1-6    拟建项目情况与《挥发性有机物无组织排放控制标准》相符性分析</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660"/>
              <w:gridCol w:w="2291"/>
              <w:gridCol w:w="1261"/>
            </w:tblGrid>
            <w:tr w14:paraId="065D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1" w:type="pct"/>
                  <w:vAlign w:val="center"/>
                </w:tcPr>
                <w:p w14:paraId="498477B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文件名称</w:t>
                  </w:r>
                </w:p>
              </w:tc>
              <w:tc>
                <w:tcPr>
                  <w:tcW w:w="1630" w:type="pct"/>
                  <w:vAlign w:val="center"/>
                </w:tcPr>
                <w:p w14:paraId="368AC8A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文件内容</w:t>
                  </w:r>
                </w:p>
              </w:tc>
              <w:tc>
                <w:tcPr>
                  <w:tcW w:w="1404" w:type="pct"/>
                  <w:vAlign w:val="center"/>
                </w:tcPr>
                <w:p w14:paraId="568DB0C5">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项目情况</w:t>
                  </w:r>
                </w:p>
              </w:tc>
              <w:tc>
                <w:tcPr>
                  <w:tcW w:w="773" w:type="pct"/>
                  <w:vAlign w:val="center"/>
                </w:tcPr>
                <w:p w14:paraId="119313F4">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结论</w:t>
                  </w:r>
                </w:p>
              </w:tc>
            </w:tr>
            <w:tr w14:paraId="0087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1" w:type="pct"/>
                  <w:vMerge w:val="restart"/>
                  <w:vAlign w:val="center"/>
                </w:tcPr>
                <w:p w14:paraId="732445AB">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《挥发性有机物无组织排放控制标准》（GB37822-2019）</w:t>
                  </w:r>
                </w:p>
              </w:tc>
              <w:tc>
                <w:tcPr>
                  <w:tcW w:w="1630" w:type="pct"/>
                  <w:vAlign w:val="center"/>
                </w:tcPr>
                <w:p w14:paraId="099A05AF">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VOCs物料应储存于密闭的容器、包装袋、储罐、储库、料仓中</w:t>
                  </w:r>
                </w:p>
              </w:tc>
              <w:tc>
                <w:tcPr>
                  <w:tcW w:w="1404" w:type="pct"/>
                  <w:vAlign w:val="center"/>
                </w:tcPr>
                <w:p w14:paraId="44D23E3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本项目产生的VOCs物料均为密闭容器储存</w:t>
                  </w:r>
                </w:p>
              </w:tc>
              <w:tc>
                <w:tcPr>
                  <w:tcW w:w="773" w:type="pct"/>
                  <w:vAlign w:val="center"/>
                </w:tcPr>
                <w:p w14:paraId="75281C34">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15F4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1" w:type="pct"/>
                  <w:vMerge w:val="continue"/>
                  <w:vAlign w:val="center"/>
                </w:tcPr>
                <w:p w14:paraId="63DC2664">
                  <w:pPr>
                    <w:jc w:val="center"/>
                    <w:rPr>
                      <w:rFonts w:hint="default" w:ascii="Times New Roman" w:hAnsi="Times New Roman" w:cs="Times New Roman"/>
                      <w:color w:val="auto"/>
                      <w:kern w:val="2"/>
                      <w:sz w:val="21"/>
                      <w:szCs w:val="21"/>
                      <w:highlight w:val="none"/>
                      <w:lang w:val="en-US" w:eastAsia="zh-CN" w:bidi="ar-SA"/>
                    </w:rPr>
                  </w:pPr>
                </w:p>
              </w:tc>
              <w:tc>
                <w:tcPr>
                  <w:tcW w:w="1630" w:type="pct"/>
                  <w:vAlign w:val="center"/>
                </w:tcPr>
                <w:p w14:paraId="11B505B1">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盛装VOCs物料的容器或包装袋应存于室内，或存放于设置有雨棚、遮阳和防渗设施的专用场地。盛装VOCs物料的容器或包装袋在非取用状态时应加盖、封口，保持密闭</w:t>
                  </w:r>
                </w:p>
              </w:tc>
              <w:tc>
                <w:tcPr>
                  <w:tcW w:w="1404" w:type="pct"/>
                  <w:vAlign w:val="center"/>
                </w:tcPr>
                <w:p w14:paraId="147D166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本项目VOCs物料均存放于室内</w:t>
                  </w:r>
                  <w:r>
                    <w:rPr>
                      <w:rFonts w:hint="eastAsia" w:cs="Times New Roman"/>
                      <w:color w:val="auto"/>
                      <w:kern w:val="2"/>
                      <w:sz w:val="21"/>
                      <w:szCs w:val="21"/>
                      <w:highlight w:val="none"/>
                      <w:lang w:val="en-US" w:eastAsia="zh-CN" w:bidi="ar-SA"/>
                    </w:rPr>
                    <w:t>专用场地</w:t>
                  </w:r>
                  <w:r>
                    <w:rPr>
                      <w:rFonts w:hint="eastAsia" w:ascii="Times New Roman" w:hAnsi="Times New Roman" w:cs="Times New Roman"/>
                      <w:color w:val="auto"/>
                      <w:kern w:val="2"/>
                      <w:sz w:val="21"/>
                      <w:szCs w:val="21"/>
                      <w:highlight w:val="none"/>
                      <w:lang w:val="en-US" w:eastAsia="zh-CN" w:bidi="ar-SA"/>
                    </w:rPr>
                    <w:t>，保持密封状态，符合要求</w:t>
                  </w:r>
                </w:p>
              </w:tc>
              <w:tc>
                <w:tcPr>
                  <w:tcW w:w="773" w:type="pct"/>
                  <w:vAlign w:val="center"/>
                </w:tcPr>
                <w:p w14:paraId="25F89FB8">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A3B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1" w:type="pct"/>
                  <w:vMerge w:val="continue"/>
                  <w:vAlign w:val="center"/>
                </w:tcPr>
                <w:p w14:paraId="73B993EF">
                  <w:pPr>
                    <w:jc w:val="center"/>
                    <w:rPr>
                      <w:rFonts w:hint="default" w:ascii="Times New Roman" w:hAnsi="Times New Roman" w:cs="Times New Roman"/>
                      <w:color w:val="auto"/>
                      <w:kern w:val="2"/>
                      <w:sz w:val="21"/>
                      <w:szCs w:val="21"/>
                      <w:highlight w:val="none"/>
                      <w:lang w:val="en-US" w:eastAsia="zh-CN" w:bidi="ar-SA"/>
                    </w:rPr>
                  </w:pPr>
                </w:p>
              </w:tc>
              <w:tc>
                <w:tcPr>
                  <w:tcW w:w="1630" w:type="pct"/>
                  <w:vAlign w:val="center"/>
                </w:tcPr>
                <w:p w14:paraId="136A31C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VOCs物料储库、料仓应满足3.6条对密闭空间的要求</w:t>
                  </w:r>
                </w:p>
              </w:tc>
              <w:tc>
                <w:tcPr>
                  <w:tcW w:w="1404" w:type="pct"/>
                  <w:vAlign w:val="center"/>
                </w:tcPr>
                <w:p w14:paraId="18F4BB16">
                  <w:pPr>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本</w:t>
                  </w:r>
                  <w:r>
                    <w:rPr>
                      <w:rFonts w:hint="eastAsia" w:ascii="Times New Roman" w:hAnsi="Times New Roman" w:cs="Times New Roman"/>
                      <w:color w:val="auto"/>
                      <w:kern w:val="2"/>
                      <w:sz w:val="21"/>
                      <w:szCs w:val="21"/>
                      <w:highlight w:val="none"/>
                      <w:lang w:val="en-US" w:eastAsia="zh-CN" w:bidi="ar-SA"/>
                    </w:rPr>
                    <w:t>项目VOCs物料储库为全封闭，除人员、物料进出时，均保持关闭状态；满足要求</w:t>
                  </w:r>
                </w:p>
              </w:tc>
              <w:tc>
                <w:tcPr>
                  <w:tcW w:w="773" w:type="pct"/>
                  <w:vAlign w:val="center"/>
                </w:tcPr>
                <w:p w14:paraId="2F8961CC">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r w14:paraId="48AC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1" w:type="pct"/>
                  <w:vMerge w:val="continue"/>
                  <w:shd w:val="clear" w:color="auto" w:fill="auto"/>
                  <w:vAlign w:val="center"/>
                </w:tcPr>
                <w:p w14:paraId="311DA7FA">
                  <w:pPr>
                    <w:jc w:val="center"/>
                    <w:rPr>
                      <w:rFonts w:hint="eastAsia" w:ascii="Times New Roman" w:hAnsi="Times New Roman" w:cs="Times New Roman"/>
                      <w:color w:val="auto"/>
                      <w:kern w:val="2"/>
                      <w:sz w:val="21"/>
                      <w:szCs w:val="21"/>
                      <w:highlight w:val="none"/>
                      <w:lang w:val="en-US" w:eastAsia="zh-CN" w:bidi="ar-SA"/>
                    </w:rPr>
                  </w:pPr>
                </w:p>
              </w:tc>
              <w:tc>
                <w:tcPr>
                  <w:tcW w:w="1630" w:type="pct"/>
                  <w:vAlign w:val="center"/>
                </w:tcPr>
                <w:p w14:paraId="37BE413E">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企业应考虑生产工艺、操作方式、废气性质、处理方法等因素，对VOCs废气进行分类收集</w:t>
                  </w:r>
                </w:p>
              </w:tc>
              <w:tc>
                <w:tcPr>
                  <w:tcW w:w="1404" w:type="pct"/>
                  <w:vAlign w:val="center"/>
                </w:tcPr>
                <w:p w14:paraId="4F422679">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项目产生的有机废气经集气罩收集至二级活性炭吸附装置进行处理，尾气经15m排气筒排放，废气排放均能达标，满足要求</w:t>
                  </w:r>
                </w:p>
              </w:tc>
              <w:tc>
                <w:tcPr>
                  <w:tcW w:w="773" w:type="pct"/>
                  <w:vAlign w:val="center"/>
                </w:tcPr>
                <w:p w14:paraId="23062B75">
                  <w:pPr>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相符</w:t>
                  </w:r>
                </w:p>
              </w:tc>
            </w:tr>
          </w:tbl>
          <w:p w14:paraId="10150122">
            <w:pPr>
              <w:pStyle w:val="83"/>
              <w:spacing w:line="360" w:lineRule="auto"/>
              <w:ind w:left="0" w:leftChars="0" w:firstLine="0" w:firstLineChars="0"/>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7、与《挥发性有机物（VOCs）污染防治技术政策》的相符性分析</w:t>
            </w:r>
          </w:p>
          <w:p w14:paraId="440A063A">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kern w:val="0"/>
                <w:sz w:val="24"/>
                <w:szCs w:val="24"/>
                <w:highlight w:val="none"/>
                <w:lang w:val="en-US" w:eastAsia="zh-CN"/>
              </w:rPr>
              <w:t>对</w:t>
            </w:r>
            <w:r>
              <w:rPr>
                <w:rFonts w:hint="eastAsia" w:ascii="宋体" w:hAnsi="宋体" w:cs="宋体"/>
                <w:kern w:val="0"/>
                <w:sz w:val="24"/>
                <w:szCs w:val="24"/>
                <w:highlight w:val="none"/>
                <w:lang w:val="en-US" w:eastAsia="zh-CN"/>
              </w:rPr>
              <w:t>生产装置排放的含VOCs工艺排气宜优先回收利用，不能（或不能完全）回收利用的经处理后达标排放；</w:t>
            </w:r>
            <w:r>
              <w:rPr>
                <w:rFonts w:ascii="宋体" w:hAnsi="宋体" w:eastAsia="宋体" w:cs="宋体"/>
                <w:sz w:val="24"/>
                <w:szCs w:val="24"/>
              </w:rPr>
              <w:t>应急情况下的泄放气可导入燃烧塔（火炬），经过充分燃烧后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线高级氧化技术等净化后达标排放。</w:t>
            </w:r>
          </w:p>
          <w:p w14:paraId="140677AF">
            <w:pPr>
              <w:spacing w:line="360" w:lineRule="auto"/>
              <w:ind w:firstLine="480" w:firstLineChars="200"/>
              <w:rPr>
                <w:rFonts w:ascii="宋体" w:hAnsi="宋体" w:eastAsia="宋体" w:cs="宋体"/>
                <w:sz w:val="24"/>
                <w:szCs w:val="24"/>
              </w:rPr>
            </w:pPr>
            <w:r>
              <w:rPr>
                <w:rFonts w:ascii="宋体" w:hAnsi="宋体" w:eastAsia="宋体" w:cs="宋体"/>
                <w:sz w:val="24"/>
                <w:szCs w:val="24"/>
              </w:rPr>
              <w:t>本项目有机废气经“集气罩+二级活性炭吸附装置+15m高排气筒”处理达标后外排，因此本项目采取的治理措施符合《挥发性有机物（VOCs）污染防治技术政策》。</w:t>
            </w:r>
          </w:p>
          <w:p w14:paraId="27B35AAD">
            <w:pPr>
              <w:pStyle w:val="83"/>
              <w:spacing w:line="360" w:lineRule="auto"/>
              <w:ind w:left="0" w:leftChars="0" w:firstLine="0" w:firstLineChars="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8、与《新疆生产建设兵团“十四五”生态环境保护规划》符合性分析</w:t>
            </w:r>
          </w:p>
          <w:p w14:paraId="29466D87">
            <w:pPr>
              <w:autoSpaceDE w:val="0"/>
              <w:autoSpaceDN w:val="0"/>
              <w:adjustRightInd w:val="0"/>
              <w:snapToGrid w:val="0"/>
              <w:spacing w:line="360" w:lineRule="auto"/>
              <w:ind w:firstLine="480" w:firstLineChars="200"/>
              <w:rPr>
                <w:kern w:val="0"/>
                <w:sz w:val="24"/>
              </w:rPr>
            </w:pPr>
            <w:r>
              <w:rPr>
                <w:kern w:val="0"/>
                <w:sz w:val="24"/>
              </w:rPr>
              <w:t>根据《新疆生产建设兵团“十四五”生态环境保护规划》第</w:t>
            </w:r>
            <w:r>
              <w:rPr>
                <w:rFonts w:hint="eastAsia"/>
                <w:kern w:val="0"/>
                <w:sz w:val="24"/>
                <w:lang w:val="en-US" w:eastAsia="zh-CN"/>
              </w:rPr>
              <w:t>九</w:t>
            </w:r>
            <w:r>
              <w:rPr>
                <w:kern w:val="0"/>
                <w:sz w:val="24"/>
              </w:rPr>
              <w:t>章第</w:t>
            </w:r>
            <w:r>
              <w:rPr>
                <w:rFonts w:hint="eastAsia"/>
                <w:kern w:val="0"/>
                <w:sz w:val="24"/>
                <w:lang w:val="en-US" w:eastAsia="zh-CN"/>
              </w:rPr>
              <w:t>三</w:t>
            </w:r>
            <w:r>
              <w:rPr>
                <w:kern w:val="0"/>
                <w:sz w:val="24"/>
              </w:rPr>
              <w:t>节：加快构建废旧物资循环利用体系，健全废旧家电、消费电子等耐用消费品回收处理体系，推行生产企业“逆向回收”等模式。</w:t>
            </w:r>
          </w:p>
          <w:p w14:paraId="5847C0FE">
            <w:pPr>
              <w:spacing w:line="360" w:lineRule="auto"/>
              <w:ind w:firstLine="480" w:firstLineChars="200"/>
              <w:rPr>
                <w:color w:val="auto"/>
                <w:kern w:val="0"/>
                <w:sz w:val="24"/>
              </w:rPr>
            </w:pPr>
            <w:r>
              <w:rPr>
                <w:color w:val="auto"/>
                <w:kern w:val="0"/>
                <w:sz w:val="24"/>
              </w:rPr>
              <w:t>本项目</w:t>
            </w:r>
            <w:r>
              <w:rPr>
                <w:rFonts w:hint="eastAsia"/>
                <w:color w:val="auto"/>
                <w:kern w:val="0"/>
                <w:sz w:val="24"/>
                <w:lang w:val="en-US" w:eastAsia="zh-CN"/>
              </w:rPr>
              <w:t>为可克达拉市农康废品回收中心报废农机回收项目，</w:t>
            </w:r>
            <w:r>
              <w:rPr>
                <w:color w:val="auto"/>
                <w:kern w:val="0"/>
                <w:sz w:val="24"/>
              </w:rPr>
              <w:t>符合规划提出“</w:t>
            </w:r>
            <w:r>
              <w:rPr>
                <w:kern w:val="0"/>
                <w:sz w:val="24"/>
              </w:rPr>
              <w:t>加快构建废旧物资循环利用体系</w:t>
            </w:r>
            <w:r>
              <w:rPr>
                <w:color w:val="auto"/>
                <w:kern w:val="0"/>
                <w:sz w:val="24"/>
              </w:rPr>
              <w:t>”，</w:t>
            </w:r>
            <w:r>
              <w:rPr>
                <w:rFonts w:hint="eastAsia"/>
                <w:color w:val="auto"/>
                <w:kern w:val="0"/>
                <w:sz w:val="24"/>
                <w:lang w:val="en-US" w:eastAsia="zh-CN"/>
              </w:rPr>
              <w:t>本项目符合规划要求</w:t>
            </w:r>
            <w:r>
              <w:rPr>
                <w:color w:val="auto"/>
                <w:kern w:val="0"/>
                <w:sz w:val="24"/>
              </w:rPr>
              <w:t>。</w:t>
            </w:r>
          </w:p>
          <w:p w14:paraId="41A56390">
            <w:pPr>
              <w:spacing w:line="360" w:lineRule="auto"/>
              <w:rPr>
                <w:color w:val="auto"/>
                <w:kern w:val="0"/>
                <w:sz w:val="24"/>
              </w:rPr>
            </w:pPr>
            <w:r>
              <w:rPr>
                <w:rFonts w:hint="eastAsia" w:ascii="Times New Roman" w:hAnsi="Times New Roman" w:eastAsia="宋体" w:cs="Times New Roman"/>
                <w:b/>
                <w:bCs/>
                <w:color w:val="auto"/>
                <w:sz w:val="24"/>
                <w:lang w:val="en-US" w:eastAsia="zh-CN"/>
              </w:rPr>
              <w:t>9、与《</w:t>
            </w:r>
            <w:r>
              <w:rPr>
                <w:rFonts w:hint="eastAsia"/>
                <w:b/>
                <w:bCs/>
                <w:kern w:val="0"/>
                <w:sz w:val="24"/>
              </w:rPr>
              <w:t>新疆生产建设兵团第四师可克达拉市“十四五”生态环境保护规划》</w:t>
            </w:r>
            <w:r>
              <w:rPr>
                <w:rFonts w:hint="eastAsia" w:ascii="Times New Roman" w:hAnsi="Times New Roman" w:eastAsia="宋体" w:cs="Times New Roman"/>
                <w:b/>
                <w:bCs/>
                <w:color w:val="auto"/>
                <w:sz w:val="24"/>
                <w:lang w:val="en-US" w:eastAsia="zh-CN"/>
              </w:rPr>
              <w:t>符合性分析</w:t>
            </w:r>
          </w:p>
          <w:p w14:paraId="5931B5E3">
            <w:pPr>
              <w:autoSpaceDE w:val="0"/>
              <w:autoSpaceDN w:val="0"/>
              <w:adjustRightInd w:val="0"/>
              <w:snapToGrid w:val="0"/>
              <w:spacing w:line="360" w:lineRule="auto"/>
              <w:ind w:firstLine="480" w:firstLineChars="200"/>
              <w:rPr>
                <w:rFonts w:hint="eastAsia"/>
                <w:kern w:val="0"/>
                <w:sz w:val="24"/>
              </w:rPr>
            </w:pPr>
            <w:r>
              <w:rPr>
                <w:rFonts w:hint="eastAsia"/>
                <w:kern w:val="0"/>
                <w:sz w:val="24"/>
              </w:rPr>
              <w:t>根据《新疆生产建设兵团第四师可克达拉市“十四五”生态环境保护规划》第三章第</w:t>
            </w:r>
            <w:r>
              <w:rPr>
                <w:rFonts w:hint="eastAsia"/>
                <w:kern w:val="0"/>
                <w:sz w:val="24"/>
                <w:lang w:val="en-US" w:eastAsia="zh-CN"/>
              </w:rPr>
              <w:t>七</w:t>
            </w:r>
            <w:r>
              <w:rPr>
                <w:rFonts w:hint="eastAsia"/>
                <w:kern w:val="0"/>
                <w:sz w:val="24"/>
              </w:rPr>
              <w:t>节：组织开展工业固体废物资源综合利用评价，加强固体废物源头减量和资源化利用，最大限度减少填埋量，持续推进工业固体废物综合利用和环境整治，不断提高工业固体废物资源化利用水平。严格重点行业环境准入，持续深入推进重金属污染防控。完善工业固体废物堆存场所及再生资源回收利用基础设施建设，对产生工业固体废物的单位建立健全工业固体废物全过程的污染环境防治责任制度，建立工业固体废物管理台账。</w:t>
            </w:r>
          </w:p>
          <w:p w14:paraId="4AA82462">
            <w:pPr>
              <w:spacing w:line="360" w:lineRule="auto"/>
              <w:ind w:firstLine="480" w:firstLineChars="200"/>
              <w:rPr>
                <w:rFonts w:ascii="宋体" w:hAnsi="宋体" w:eastAsia="宋体" w:cs="宋体"/>
                <w:sz w:val="24"/>
                <w:szCs w:val="24"/>
              </w:rPr>
            </w:pPr>
            <w:r>
              <w:rPr>
                <w:kern w:val="0"/>
                <w:sz w:val="24"/>
              </w:rPr>
              <w:t>本项目属于</w:t>
            </w:r>
            <w:r>
              <w:rPr>
                <w:rFonts w:hint="eastAsia"/>
                <w:color w:val="auto"/>
                <w:kern w:val="0"/>
                <w:sz w:val="24"/>
                <w:lang w:val="en-US" w:eastAsia="zh-CN"/>
              </w:rPr>
              <w:t>可克达拉市农康废品回收中心报废农机回收项目</w:t>
            </w:r>
            <w:r>
              <w:rPr>
                <w:kern w:val="0"/>
                <w:sz w:val="24"/>
              </w:rPr>
              <w:t>，</w:t>
            </w:r>
            <w:r>
              <w:rPr>
                <w:rFonts w:hint="eastAsia"/>
                <w:kern w:val="0"/>
                <w:sz w:val="24"/>
                <w:lang w:val="en-US" w:eastAsia="zh-CN"/>
              </w:rPr>
              <w:t>项目运营过程中产生的废物均进行了综合处置，减少了填埋量，</w:t>
            </w:r>
            <w:r>
              <w:rPr>
                <w:kern w:val="0"/>
                <w:sz w:val="24"/>
              </w:rPr>
              <w:t>符合规划</w:t>
            </w:r>
            <w:r>
              <w:rPr>
                <w:rFonts w:hint="eastAsia"/>
                <w:kern w:val="0"/>
                <w:sz w:val="24"/>
              </w:rPr>
              <w:t>要求</w:t>
            </w:r>
            <w:r>
              <w:rPr>
                <w:kern w:val="0"/>
                <w:sz w:val="24"/>
              </w:rPr>
              <w:t>。</w:t>
            </w:r>
          </w:p>
          <w:p w14:paraId="01193268">
            <w:pPr>
              <w:spacing w:line="360" w:lineRule="auto"/>
              <w:ind w:firstLine="480" w:firstLineChars="200"/>
              <w:rPr>
                <w:rFonts w:ascii="宋体" w:hAnsi="宋体" w:eastAsia="宋体" w:cs="宋体"/>
                <w:sz w:val="24"/>
                <w:szCs w:val="24"/>
              </w:rPr>
            </w:pPr>
          </w:p>
          <w:p w14:paraId="3B1A46BE">
            <w:pPr>
              <w:pStyle w:val="36"/>
            </w:pPr>
          </w:p>
          <w:p w14:paraId="5A7D7702">
            <w:pPr>
              <w:pStyle w:val="36"/>
              <w:rPr>
                <w:rFonts w:hint="default"/>
                <w:lang w:val="en-US" w:eastAsia="zh-CN"/>
              </w:rPr>
            </w:pPr>
          </w:p>
        </w:tc>
      </w:tr>
    </w:tbl>
    <w:p w14:paraId="5F3FB7AF">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14:paraId="2BD1DA14">
      <w:pPr>
        <w:pStyle w:val="24"/>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5"/>
        <w:gridCol w:w="8834"/>
      </w:tblGrid>
      <w:tr w14:paraId="07321FF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68" w:hRule="atLeast"/>
          <w:jc w:val="center"/>
        </w:trPr>
        <w:tc>
          <w:tcPr>
            <w:tcW w:w="770" w:type="dxa"/>
            <w:tcBorders>
              <w:tl2br w:val="nil"/>
              <w:tr2bl w:val="nil"/>
            </w:tcBorders>
            <w:noWrap w:val="0"/>
            <w:vAlign w:val="center"/>
          </w:tcPr>
          <w:p w14:paraId="56F5CE25">
            <w:pPr>
              <w:pStyle w:val="24"/>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建设内容</w:t>
            </w:r>
          </w:p>
        </w:tc>
        <w:tc>
          <w:tcPr>
            <w:tcW w:w="8519" w:type="dxa"/>
            <w:tcBorders>
              <w:tl2br w:val="nil"/>
              <w:tr2bl w:val="nil"/>
            </w:tcBorders>
            <w:noWrap w:val="0"/>
            <w:vAlign w:val="top"/>
          </w:tcPr>
          <w:p w14:paraId="71B8F07E">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1、项目概况</w:t>
            </w:r>
          </w:p>
          <w:p w14:paraId="07618E0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1.1、地理位置</w:t>
            </w:r>
          </w:p>
          <w:p w14:paraId="228302FB">
            <w:pPr>
              <w:pStyle w:val="36"/>
              <w:spacing w:line="360" w:lineRule="auto"/>
              <w:rPr>
                <w:rFonts w:hint="default"/>
                <w:lang w:val="en-US" w:eastAsia="zh-CN"/>
              </w:rPr>
            </w:pPr>
            <w:r>
              <w:rPr>
                <w:rFonts w:hint="eastAsia"/>
                <w:lang w:val="en-US" w:eastAsia="zh-CN"/>
              </w:rPr>
              <w:t>本项目位于第四师六十八团五连，项目区地块位于创新北路以南，伊香东一路以西，伊香大道以东，创新大道以北。</w:t>
            </w:r>
            <w:r>
              <w:rPr>
                <w:rFonts w:hint="default"/>
                <w:lang w:val="en-US" w:eastAsia="zh-CN"/>
              </w:rPr>
              <w:t>地理位置为E80°56'02.637"，N43°52'14.848"。</w:t>
            </w:r>
            <w:r>
              <w:rPr>
                <w:rFonts w:hint="eastAsia"/>
                <w:lang w:val="en-US" w:eastAsia="zh-CN"/>
              </w:rPr>
              <w:t>见附图2。</w:t>
            </w:r>
          </w:p>
          <w:p w14:paraId="1CA309B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1.2、</w:t>
            </w:r>
            <w:r>
              <w:rPr>
                <w:rFonts w:hint="default" w:ascii="Times New Roman" w:hAnsi="Times New Roman" w:eastAsia="宋体" w:cs="Times New Roman"/>
                <w:b/>
                <w:bCs/>
                <w:color w:val="auto"/>
                <w:kern w:val="44"/>
                <w:sz w:val="24"/>
                <w:szCs w:val="24"/>
                <w:highlight w:val="none"/>
                <w:lang w:val="en-US" w:eastAsia="zh-CN"/>
              </w:rPr>
              <w:t>建设内容</w:t>
            </w:r>
            <w:r>
              <w:rPr>
                <w:rFonts w:hint="eastAsia" w:cs="Times New Roman"/>
                <w:b/>
                <w:bCs/>
                <w:color w:val="auto"/>
                <w:kern w:val="44"/>
                <w:sz w:val="24"/>
                <w:szCs w:val="24"/>
                <w:highlight w:val="none"/>
                <w:lang w:val="en-US" w:eastAsia="zh-CN"/>
              </w:rPr>
              <w:t>与规模</w:t>
            </w:r>
          </w:p>
          <w:p w14:paraId="74ACDE3C">
            <w:pPr>
              <w:spacing w:line="360" w:lineRule="auto"/>
              <w:ind w:firstLine="480" w:firstLineChars="200"/>
              <w:rPr>
                <w:rFonts w:hint="eastAsia" w:ascii="Times New Roman" w:hAnsi="Times New Roman" w:eastAsia="宋体" w:cs="Times New Roman"/>
                <w:color w:val="auto"/>
                <w:sz w:val="24"/>
                <w:szCs w:val="24"/>
                <w:lang w:val="en-US" w:eastAsia="zh-CN"/>
              </w:rPr>
            </w:pPr>
            <w:r>
              <w:rPr>
                <w:color w:val="auto"/>
                <w:sz w:val="24"/>
                <w:szCs w:val="24"/>
              </w:rPr>
              <w:t>建设内容：</w:t>
            </w:r>
            <w:r>
              <w:rPr>
                <w:rFonts w:hint="eastAsia" w:ascii="宋体" w:hAnsi="宋体" w:eastAsia="宋体" w:cs="宋体"/>
                <w:kern w:val="0"/>
                <w:sz w:val="24"/>
                <w:szCs w:val="24"/>
                <w:highlight w:val="none"/>
                <w:lang w:val="en-US" w:eastAsia="zh-CN"/>
              </w:rPr>
              <w:t>新建一座生产车</w:t>
            </w:r>
            <w:r>
              <w:rPr>
                <w:rFonts w:hint="default" w:ascii="Times New Roman" w:hAnsi="Times New Roman" w:eastAsia="宋体" w:cs="Times New Roman"/>
                <w:kern w:val="0"/>
                <w:sz w:val="24"/>
                <w:szCs w:val="24"/>
                <w:highlight w:val="none"/>
                <w:lang w:val="en-US" w:eastAsia="zh-CN"/>
              </w:rPr>
              <w:t>间，车间建筑面积为1490.08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kern w:val="0"/>
                <w:sz w:val="24"/>
                <w:szCs w:val="24"/>
                <w:highlight w:val="none"/>
                <w:lang w:val="en-US" w:eastAsia="zh-CN"/>
              </w:rPr>
              <w:t>，新建办公楼一座，建筑面积为222.22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color w:val="auto"/>
                <w:sz w:val="24"/>
                <w:szCs w:val="24"/>
              </w:rPr>
              <w:t>配套给水、排水、电力、消防、</w:t>
            </w:r>
            <w:r>
              <w:rPr>
                <w:rFonts w:hint="default" w:ascii="Times New Roman" w:hAnsi="Times New Roman" w:eastAsia="宋体" w:cs="Times New Roman"/>
                <w:color w:val="auto"/>
                <w:sz w:val="24"/>
                <w:szCs w:val="24"/>
                <w:lang w:val="en-US" w:eastAsia="zh-CN"/>
              </w:rPr>
              <w:t>硬化</w:t>
            </w:r>
            <w:r>
              <w:rPr>
                <w:rFonts w:hint="default" w:ascii="Times New Roman" w:hAnsi="Times New Roman" w:eastAsia="宋体" w:cs="Times New Roman"/>
                <w:color w:val="auto"/>
                <w:sz w:val="24"/>
                <w:szCs w:val="24"/>
              </w:rPr>
              <w:t>及绿化等基础配套设施</w:t>
            </w:r>
            <w:r>
              <w:rPr>
                <w:rFonts w:hint="default" w:ascii="Times New Roman" w:hAnsi="Times New Roman" w:cs="Times New Roman"/>
                <w:color w:val="auto"/>
                <w:sz w:val="24"/>
                <w:szCs w:val="24"/>
                <w:lang w:val="en-US" w:eastAsia="zh-CN"/>
              </w:rPr>
              <w:t>。</w:t>
            </w:r>
            <w:r>
              <w:rPr>
                <w:rFonts w:ascii="宋体" w:hAnsi="宋体" w:eastAsia="宋体" w:cs="宋体"/>
                <w:sz w:val="24"/>
                <w:szCs w:val="24"/>
              </w:rPr>
              <w:t>，项目建成后可达年拆解汽车</w:t>
            </w:r>
            <w:r>
              <w:rPr>
                <w:rFonts w:hint="eastAsia" w:ascii="宋体" w:hAnsi="宋体" w:eastAsia="宋体" w:cs="宋体"/>
                <w:sz w:val="24"/>
                <w:szCs w:val="24"/>
                <w:lang w:val="en-US" w:eastAsia="zh-CN"/>
              </w:rPr>
              <w:t>5</w:t>
            </w:r>
            <w:r>
              <w:rPr>
                <w:rFonts w:ascii="宋体" w:hAnsi="宋体" w:eastAsia="宋体" w:cs="宋体"/>
                <w:sz w:val="24"/>
                <w:szCs w:val="24"/>
              </w:rPr>
              <w:t>000台的处理规模</w:t>
            </w:r>
            <w:r>
              <w:rPr>
                <w:rFonts w:hint="eastAsia" w:ascii="宋体" w:hAnsi="宋体" w:eastAsia="宋体" w:cs="宋体"/>
                <w:sz w:val="24"/>
                <w:szCs w:val="24"/>
                <w:lang w:eastAsia="zh-CN"/>
              </w:rPr>
              <w:t>。</w:t>
            </w:r>
          </w:p>
          <w:p w14:paraId="70B8A837">
            <w:pPr>
              <w:spacing w:line="360" w:lineRule="auto"/>
              <w:ind w:firstLine="480" w:firstLineChars="200"/>
              <w:rPr>
                <w:rFonts w:hint="default"/>
                <w:color w:val="auto"/>
                <w:sz w:val="24"/>
                <w:szCs w:val="24"/>
                <w:lang w:val="en-US" w:eastAsia="zh-CN"/>
              </w:rPr>
            </w:pPr>
            <w:r>
              <w:rPr>
                <w:rFonts w:hint="default" w:ascii="Times New Roman" w:hAnsi="Times New Roman" w:cs="Times New Roman"/>
                <w:color w:val="auto"/>
                <w:sz w:val="24"/>
                <w:szCs w:val="24"/>
                <w:lang w:val="en-US" w:eastAsia="zh-CN"/>
              </w:rPr>
              <w:t>项目组成情况见表2-1。</w:t>
            </w:r>
          </w:p>
          <w:p w14:paraId="4AEC3494">
            <w:pPr>
              <w:spacing w:line="240" w:lineRule="auto"/>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w:t>
            </w: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 xml:space="preserve">1                    </w:t>
            </w:r>
            <w:r>
              <w:rPr>
                <w:rFonts w:hint="eastAsia"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项目组成一览表</w:t>
            </w:r>
          </w:p>
          <w:tbl>
            <w:tblPr>
              <w:tblStyle w:val="28"/>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409"/>
              <w:gridCol w:w="5591"/>
              <w:gridCol w:w="651"/>
            </w:tblGrid>
            <w:tr w14:paraId="0BAF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7" w:type="dxa"/>
                  <w:tcBorders>
                    <w:tl2br w:val="nil"/>
                    <w:tr2bl w:val="nil"/>
                  </w:tcBorders>
                  <w:noWrap w:val="0"/>
                  <w:vAlign w:val="center"/>
                </w:tcPr>
                <w:p w14:paraId="22C2F663">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工程</w:t>
                  </w:r>
                </w:p>
                <w:p w14:paraId="40DB64AB">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内容</w:t>
                  </w:r>
                </w:p>
              </w:tc>
              <w:tc>
                <w:tcPr>
                  <w:tcW w:w="1409" w:type="dxa"/>
                  <w:tcBorders>
                    <w:tl2br w:val="nil"/>
                    <w:tr2bl w:val="nil"/>
                  </w:tcBorders>
                  <w:noWrap w:val="0"/>
                  <w:vAlign w:val="center"/>
                </w:tcPr>
                <w:p w14:paraId="52F4D0F2">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项目名称</w:t>
                  </w:r>
                </w:p>
              </w:tc>
              <w:tc>
                <w:tcPr>
                  <w:tcW w:w="5591" w:type="dxa"/>
                  <w:tcBorders>
                    <w:tl2br w:val="nil"/>
                    <w:tr2bl w:val="nil"/>
                  </w:tcBorders>
                  <w:noWrap w:val="0"/>
                  <w:vAlign w:val="center"/>
                </w:tcPr>
                <w:p w14:paraId="7AB5FD26">
                  <w:pPr>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建设内容及规模</w:t>
                  </w:r>
                </w:p>
              </w:tc>
              <w:tc>
                <w:tcPr>
                  <w:tcW w:w="651" w:type="dxa"/>
                  <w:tcBorders>
                    <w:tl2br w:val="nil"/>
                    <w:tr2bl w:val="nil"/>
                  </w:tcBorders>
                  <w:noWrap w:val="0"/>
                  <w:vAlign w:val="center"/>
                </w:tcPr>
                <w:p w14:paraId="34900F6A">
                  <w:pPr>
                    <w:snapToGrid w:val="0"/>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cs="Times New Roman"/>
                      <w:b/>
                      <w:color w:val="auto"/>
                      <w:szCs w:val="21"/>
                      <w:highlight w:val="none"/>
                      <w:lang w:val="en-US" w:eastAsia="zh-CN"/>
                    </w:rPr>
                    <w:t>备注</w:t>
                  </w:r>
                </w:p>
              </w:tc>
            </w:tr>
            <w:tr w14:paraId="0D84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667" w:type="dxa"/>
                  <w:tcBorders>
                    <w:tl2br w:val="nil"/>
                    <w:tr2bl w:val="nil"/>
                  </w:tcBorders>
                  <w:noWrap w:val="0"/>
                  <w:vAlign w:val="center"/>
                </w:tcPr>
                <w:p w14:paraId="0D403E0D">
                  <w:pPr>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主体工程</w:t>
                  </w:r>
                </w:p>
              </w:tc>
              <w:tc>
                <w:tcPr>
                  <w:tcW w:w="1409" w:type="dxa"/>
                  <w:tcBorders>
                    <w:tl2br w:val="nil"/>
                    <w:tr2bl w:val="nil"/>
                  </w:tcBorders>
                  <w:noWrap w:val="0"/>
                  <w:vAlign w:val="center"/>
                </w:tcPr>
                <w:p w14:paraId="6EAEC20A">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生产区</w:t>
                  </w:r>
                </w:p>
              </w:tc>
              <w:tc>
                <w:tcPr>
                  <w:tcW w:w="5591" w:type="dxa"/>
                  <w:tcBorders>
                    <w:tl2br w:val="nil"/>
                    <w:tr2bl w:val="nil"/>
                  </w:tcBorders>
                  <w:noWrap w:val="0"/>
                  <w:vAlign w:val="center"/>
                </w:tcPr>
                <w:p w14:paraId="50C43CEC">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新建生产车间一座，</w:t>
                  </w:r>
                  <w:r>
                    <w:rPr>
                      <w:rFonts w:hint="default" w:ascii="Times New Roman" w:hAnsi="Times New Roman" w:eastAsia="宋体" w:cs="Times New Roman"/>
                      <w:kern w:val="0"/>
                      <w:sz w:val="21"/>
                      <w:szCs w:val="21"/>
                      <w:highlight w:val="none"/>
                      <w:lang w:val="en-US" w:eastAsia="zh-CN"/>
                    </w:rPr>
                    <w:t>建筑面积为1490.08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kern w:val="0"/>
                      <w:sz w:val="21"/>
                      <w:szCs w:val="21"/>
                      <w:highlight w:val="none"/>
                      <w:lang w:val="en-US" w:eastAsia="zh-CN"/>
                    </w:rPr>
                    <w:t>，</w:t>
                  </w:r>
                  <w:r>
                    <w:rPr>
                      <w:rFonts w:hint="eastAsia" w:ascii="Times New Roman" w:hAnsi="Times New Roman" w:eastAsia="宋体" w:cs="Times New Roman"/>
                      <w:kern w:val="0"/>
                      <w:sz w:val="21"/>
                      <w:szCs w:val="21"/>
                      <w:highlight w:val="none"/>
                      <w:lang w:val="en-US" w:eastAsia="zh-CN"/>
                    </w:rPr>
                    <w:t>年回收拆解报废汽车5000辆。</w:t>
                  </w:r>
                </w:p>
              </w:tc>
              <w:tc>
                <w:tcPr>
                  <w:tcW w:w="651" w:type="dxa"/>
                  <w:tcBorders>
                    <w:tl2br w:val="nil"/>
                    <w:tr2bl w:val="nil"/>
                  </w:tcBorders>
                  <w:noWrap w:val="0"/>
                  <w:vAlign w:val="center"/>
                </w:tcPr>
                <w:p w14:paraId="3A4E71DB">
                  <w:pPr>
                    <w:snapToGrid w:val="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新建</w:t>
                  </w:r>
                </w:p>
              </w:tc>
            </w:tr>
            <w:tr w14:paraId="7744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67" w:type="dxa"/>
                  <w:vMerge w:val="restart"/>
                  <w:tcBorders>
                    <w:tl2br w:val="nil"/>
                    <w:tr2bl w:val="nil"/>
                  </w:tcBorders>
                  <w:noWrap w:val="0"/>
                  <w:vAlign w:val="center"/>
                </w:tcPr>
                <w:p w14:paraId="673F7CEE">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辅助</w:t>
                  </w:r>
                </w:p>
                <w:p w14:paraId="2009A944">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409" w:type="dxa"/>
                  <w:tcBorders>
                    <w:tl2br w:val="nil"/>
                    <w:tr2bl w:val="nil"/>
                  </w:tcBorders>
                  <w:noWrap w:val="0"/>
                  <w:vAlign w:val="center"/>
                </w:tcPr>
                <w:p w14:paraId="2CDDFCC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办公</w:t>
                  </w:r>
                  <w:r>
                    <w:rPr>
                      <w:rFonts w:hint="eastAsia" w:cs="Times New Roman"/>
                      <w:color w:val="auto"/>
                      <w:szCs w:val="21"/>
                      <w:highlight w:val="none"/>
                      <w:lang w:val="en-US" w:eastAsia="zh-CN"/>
                    </w:rPr>
                    <w:t>室</w:t>
                  </w:r>
                </w:p>
              </w:tc>
              <w:tc>
                <w:tcPr>
                  <w:tcW w:w="5591" w:type="dxa"/>
                  <w:tcBorders>
                    <w:tl2br w:val="nil"/>
                    <w:tr2bl w:val="nil"/>
                  </w:tcBorders>
                  <w:noWrap w:val="0"/>
                  <w:vAlign w:val="center"/>
                </w:tcPr>
                <w:p w14:paraId="29381465">
                  <w:pPr>
                    <w:snapToGrid w:val="0"/>
                    <w:jc w:val="center"/>
                    <w:rPr>
                      <w:rFonts w:hint="default" w:ascii="Times New Roman" w:hAnsi="Times New Roman" w:cs="Times New Roman"/>
                      <w:bCs/>
                      <w:color w:val="auto"/>
                      <w:szCs w:val="21"/>
                      <w:highlight w:val="none"/>
                      <w:lang w:val="en-US"/>
                    </w:rPr>
                  </w:pPr>
                  <w:r>
                    <w:rPr>
                      <w:rFonts w:hint="default" w:ascii="Times New Roman" w:hAnsi="Times New Roman" w:eastAsia="宋体" w:cs="Times New Roman"/>
                      <w:color w:val="auto"/>
                      <w:sz w:val="21"/>
                      <w:szCs w:val="21"/>
                      <w:highlight w:val="none"/>
                      <w:lang w:val="en-US" w:eastAsia="zh-CN"/>
                    </w:rPr>
                    <w:t>地上一层，</w:t>
                  </w:r>
                  <w:r>
                    <w:rPr>
                      <w:rFonts w:hint="eastAsia" w:cs="Times New Roman"/>
                      <w:color w:val="auto"/>
                      <w:sz w:val="21"/>
                      <w:szCs w:val="21"/>
                      <w:highlight w:val="none"/>
                      <w:lang w:val="en-US" w:eastAsia="zh-CN"/>
                    </w:rPr>
                    <w:t>砖混</w:t>
                  </w:r>
                  <w:r>
                    <w:rPr>
                      <w:rFonts w:hint="default" w:ascii="Times New Roman" w:hAnsi="Times New Roman" w:eastAsia="宋体" w:cs="Times New Roman"/>
                      <w:color w:val="auto"/>
                      <w:sz w:val="21"/>
                      <w:szCs w:val="21"/>
                      <w:highlight w:val="none"/>
                      <w:lang w:val="en-US" w:eastAsia="zh-CN"/>
                    </w:rPr>
                    <w:t>结构，</w:t>
                  </w:r>
                  <w:r>
                    <w:rPr>
                      <w:rFonts w:hint="eastAsia"/>
                      <w:color w:val="auto"/>
                      <w:highlight w:val="none"/>
                      <w:lang w:val="en-US" w:eastAsia="zh-CN"/>
                    </w:rPr>
                    <w:t>建筑面积222.22</w:t>
                  </w:r>
                  <w:r>
                    <w:rPr>
                      <w:rFonts w:hint="default" w:ascii="Times New Roman" w:hAnsi="Times New Roman" w:eastAsia="宋体" w:cs="Times New Roman"/>
                      <w:color w:val="auto"/>
                      <w:szCs w:val="21"/>
                      <w:highlight w:val="none"/>
                    </w:rPr>
                    <w:t>m</w:t>
                  </w:r>
                  <w:r>
                    <w:rPr>
                      <w:rFonts w:hint="eastAsia" w:cs="Times New Roman"/>
                      <w:color w:val="auto"/>
                      <w:szCs w:val="21"/>
                      <w:highlight w:val="none"/>
                      <w:vertAlign w:val="superscript"/>
                      <w:lang w:val="en-US" w:eastAsia="zh-CN"/>
                    </w:rPr>
                    <w:t>2</w:t>
                  </w:r>
                </w:p>
              </w:tc>
              <w:tc>
                <w:tcPr>
                  <w:tcW w:w="651" w:type="dxa"/>
                  <w:tcBorders>
                    <w:tl2br w:val="nil"/>
                    <w:tr2bl w:val="nil"/>
                  </w:tcBorders>
                  <w:noWrap w:val="0"/>
                  <w:vAlign w:val="center"/>
                </w:tcPr>
                <w:p w14:paraId="52E6043C">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新建</w:t>
                  </w:r>
                </w:p>
              </w:tc>
            </w:tr>
            <w:tr w14:paraId="1870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67" w:type="dxa"/>
                  <w:vMerge w:val="continue"/>
                  <w:tcBorders>
                    <w:tl2br w:val="nil"/>
                    <w:tr2bl w:val="nil"/>
                  </w:tcBorders>
                  <w:noWrap w:val="0"/>
                  <w:vAlign w:val="center"/>
                </w:tcPr>
                <w:p w14:paraId="718F864E">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0411FCB6">
                  <w:pPr>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危废暂存间</w:t>
                  </w:r>
                </w:p>
              </w:tc>
              <w:tc>
                <w:tcPr>
                  <w:tcW w:w="5591" w:type="dxa"/>
                  <w:tcBorders>
                    <w:tl2br w:val="nil"/>
                    <w:tr2bl w:val="nil"/>
                  </w:tcBorders>
                  <w:noWrap w:val="0"/>
                  <w:vAlign w:val="center"/>
                </w:tcPr>
                <w:p w14:paraId="57FD0AC8">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位于生产车间拐角处，建筑面积100</w:t>
                  </w:r>
                  <w:r>
                    <w:rPr>
                      <w:rFonts w:hint="default" w:ascii="Times New Roman" w:hAnsi="Times New Roman" w:eastAsia="宋体" w:cs="Times New Roman"/>
                      <w:color w:val="auto"/>
                      <w:szCs w:val="21"/>
                      <w:highlight w:val="none"/>
                    </w:rPr>
                    <w:t>m</w:t>
                  </w:r>
                  <w:r>
                    <w:rPr>
                      <w:rFonts w:hint="eastAsia" w:cs="Times New Roman"/>
                      <w:color w:val="auto"/>
                      <w:szCs w:val="21"/>
                      <w:highlight w:val="none"/>
                      <w:vertAlign w:val="superscript"/>
                      <w:lang w:val="en-US" w:eastAsia="zh-CN"/>
                    </w:rPr>
                    <w:t>2</w:t>
                  </w:r>
                </w:p>
              </w:tc>
              <w:tc>
                <w:tcPr>
                  <w:tcW w:w="651" w:type="dxa"/>
                  <w:tcBorders>
                    <w:tl2br w:val="nil"/>
                    <w:tr2bl w:val="nil"/>
                  </w:tcBorders>
                  <w:noWrap w:val="0"/>
                  <w:vAlign w:val="center"/>
                </w:tcPr>
                <w:p w14:paraId="5DF67EDF">
                  <w:pPr>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新建</w:t>
                  </w:r>
                </w:p>
              </w:tc>
            </w:tr>
            <w:tr w14:paraId="6782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67" w:type="dxa"/>
                  <w:vMerge w:val="continue"/>
                  <w:tcBorders>
                    <w:tl2br w:val="nil"/>
                    <w:tr2bl w:val="nil"/>
                  </w:tcBorders>
                  <w:noWrap w:val="0"/>
                  <w:vAlign w:val="center"/>
                </w:tcPr>
                <w:p w14:paraId="38A8CD7E">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5F958853">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储存场地</w:t>
                  </w:r>
                </w:p>
              </w:tc>
              <w:tc>
                <w:tcPr>
                  <w:tcW w:w="5591" w:type="dxa"/>
                  <w:tcBorders>
                    <w:tl2br w:val="nil"/>
                    <w:tr2bl w:val="nil"/>
                  </w:tcBorders>
                  <w:noWrap w:val="0"/>
                  <w:vAlign w:val="center"/>
                </w:tcPr>
                <w:p w14:paraId="508D609B">
                  <w:pPr>
                    <w:snapToGrid w:val="0"/>
                    <w:jc w:val="center"/>
                    <w:rPr>
                      <w:rFonts w:hint="default" w:ascii="Times New Roman" w:hAnsi="Times New Roman" w:eastAsia="宋体" w:cs="Times New Roman"/>
                      <w:color w:val="auto"/>
                      <w:kern w:val="2"/>
                      <w:sz w:val="21"/>
                      <w:szCs w:val="24"/>
                      <w:highlight w:val="none"/>
                      <w:vertAlign w:val="baseline"/>
                      <w:lang w:val="en-US" w:eastAsia="zh-CN" w:bidi="ar-SA"/>
                    </w:rPr>
                  </w:pPr>
                  <w:r>
                    <w:rPr>
                      <w:rFonts w:hint="eastAsia" w:cs="Times New Roman"/>
                      <w:color w:val="auto"/>
                      <w:sz w:val="21"/>
                      <w:szCs w:val="21"/>
                      <w:highlight w:val="none"/>
                      <w:lang w:val="en-US" w:eastAsia="zh-CN"/>
                    </w:rPr>
                    <w:t>报废汽车储存场地面积4000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p>
              </w:tc>
              <w:tc>
                <w:tcPr>
                  <w:tcW w:w="651" w:type="dxa"/>
                  <w:tcBorders>
                    <w:tl2br w:val="nil"/>
                    <w:tr2bl w:val="nil"/>
                  </w:tcBorders>
                  <w:noWrap w:val="0"/>
                  <w:vAlign w:val="center"/>
                </w:tcPr>
                <w:p w14:paraId="2F49D9B4">
                  <w:pPr>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新建</w:t>
                  </w:r>
                </w:p>
              </w:tc>
            </w:tr>
            <w:tr w14:paraId="6CE2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67" w:type="dxa"/>
                  <w:tcBorders>
                    <w:tl2br w:val="nil"/>
                    <w:tr2bl w:val="nil"/>
                  </w:tcBorders>
                  <w:noWrap w:val="0"/>
                  <w:vAlign w:val="center"/>
                </w:tcPr>
                <w:p w14:paraId="2C839B17">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贮运工程</w:t>
                  </w:r>
                </w:p>
              </w:tc>
              <w:tc>
                <w:tcPr>
                  <w:tcW w:w="1409" w:type="dxa"/>
                  <w:tcBorders>
                    <w:tl2br w:val="nil"/>
                    <w:tr2bl w:val="nil"/>
                  </w:tcBorders>
                  <w:noWrap w:val="0"/>
                  <w:vAlign w:val="center"/>
                </w:tcPr>
                <w:p w14:paraId="16EED8FD">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车辆暂存区</w:t>
                  </w:r>
                </w:p>
              </w:tc>
              <w:tc>
                <w:tcPr>
                  <w:tcW w:w="5591" w:type="dxa"/>
                  <w:tcBorders>
                    <w:tl2br w:val="nil"/>
                    <w:tr2bl w:val="nil"/>
                  </w:tcBorders>
                  <w:noWrap w:val="0"/>
                  <w:vAlign w:val="center"/>
                </w:tcPr>
                <w:p w14:paraId="235A841B">
                  <w:pPr>
                    <w:snapToGrid w:val="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000000"/>
                      <w:spacing w:val="0"/>
                      <w:w w:val="100"/>
                      <w:position w:val="0"/>
                      <w:sz w:val="21"/>
                      <w:szCs w:val="21"/>
                      <w:lang w:val="en-US" w:eastAsia="zh-CN"/>
                    </w:rPr>
                    <w:t>建筑面积</w:t>
                  </w:r>
                  <w:r>
                    <w:rPr>
                      <w:rFonts w:hint="eastAsia" w:cs="Times New Roman"/>
                      <w:color w:val="000000"/>
                      <w:spacing w:val="0"/>
                      <w:w w:val="100"/>
                      <w:position w:val="0"/>
                      <w:sz w:val="21"/>
                      <w:szCs w:val="21"/>
                      <w:lang w:val="en-US" w:eastAsia="zh-CN"/>
                    </w:rPr>
                    <w:t>4400</w:t>
                  </w:r>
                  <w:r>
                    <w:rPr>
                      <w:rFonts w:hint="default" w:ascii="Times New Roman" w:hAnsi="Times New Roman" w:eastAsia="宋体" w:cs="Times New Roman"/>
                      <w:color w:val="000000"/>
                      <w:spacing w:val="0"/>
                      <w:w w:val="100"/>
                      <w:position w:val="0"/>
                      <w:sz w:val="21"/>
                      <w:szCs w:val="21"/>
                      <w:lang w:val="en-US" w:eastAsia="zh-CN"/>
                    </w:rPr>
                    <w:t>m</w:t>
                  </w:r>
                  <w:r>
                    <w:rPr>
                      <w:rFonts w:hint="default" w:ascii="Times New Roman" w:hAnsi="Times New Roman" w:eastAsia="宋体" w:cs="Times New Roman"/>
                      <w:color w:val="000000"/>
                      <w:spacing w:val="0"/>
                      <w:w w:val="100"/>
                      <w:position w:val="0"/>
                      <w:sz w:val="21"/>
                      <w:szCs w:val="21"/>
                      <w:vertAlign w:val="superscript"/>
                      <w:lang w:val="en-US" w:eastAsia="zh-CN"/>
                    </w:rPr>
                    <w:t>2</w:t>
                  </w:r>
                  <w:r>
                    <w:rPr>
                      <w:rFonts w:hint="default" w:ascii="Times New Roman" w:hAnsi="Times New Roman" w:eastAsia="宋体" w:cs="Times New Roman"/>
                      <w:color w:val="000000"/>
                      <w:spacing w:val="0"/>
                      <w:w w:val="100"/>
                      <w:position w:val="0"/>
                      <w:sz w:val="21"/>
                      <w:szCs w:val="21"/>
                      <w:lang w:val="en-US" w:eastAsia="zh-CN"/>
                    </w:rPr>
                    <w:t>，</w:t>
                  </w:r>
                  <w:r>
                    <w:rPr>
                      <w:rFonts w:hint="default" w:ascii="Times New Roman" w:hAnsi="Times New Roman" w:eastAsia="宋体" w:cs="Times New Roman"/>
                      <w:snapToGrid w:val="0"/>
                      <w:color w:val="000000"/>
                      <w:kern w:val="0"/>
                      <w:sz w:val="21"/>
                      <w:szCs w:val="21"/>
                    </w:rPr>
                    <w:t>位于拆解车间</w:t>
                  </w:r>
                  <w:r>
                    <w:rPr>
                      <w:rFonts w:hint="eastAsia" w:cs="Times New Roman"/>
                      <w:snapToGrid w:val="0"/>
                      <w:color w:val="000000"/>
                      <w:kern w:val="0"/>
                      <w:sz w:val="21"/>
                      <w:szCs w:val="21"/>
                      <w:lang w:val="en-US" w:eastAsia="zh-CN"/>
                    </w:rPr>
                    <w:t>东侧</w:t>
                  </w:r>
                  <w:r>
                    <w:rPr>
                      <w:rFonts w:hint="default" w:ascii="Times New Roman" w:hAnsi="Times New Roman" w:eastAsia="宋体" w:cs="Times New Roman"/>
                      <w:snapToGrid w:val="0"/>
                      <w:color w:val="000000"/>
                      <w:kern w:val="0"/>
                      <w:sz w:val="21"/>
                      <w:szCs w:val="21"/>
                    </w:rPr>
                    <w:t>，地面进行硬化、防渗处理，用于</w:t>
                  </w:r>
                  <w:r>
                    <w:rPr>
                      <w:rFonts w:hint="default" w:ascii="Times New Roman" w:hAnsi="Times New Roman" w:eastAsia="宋体" w:cs="Times New Roman"/>
                      <w:snapToGrid w:val="0"/>
                      <w:color w:val="000000"/>
                      <w:kern w:val="0"/>
                      <w:sz w:val="21"/>
                      <w:szCs w:val="21"/>
                      <w:lang w:val="en-US" w:eastAsia="zh-CN"/>
                    </w:rPr>
                    <w:t>待预处理</w:t>
                  </w:r>
                  <w:r>
                    <w:rPr>
                      <w:rFonts w:hint="default" w:ascii="Times New Roman" w:hAnsi="Times New Roman" w:eastAsia="宋体" w:cs="Times New Roman"/>
                      <w:snapToGrid w:val="0"/>
                      <w:color w:val="000000"/>
                      <w:kern w:val="0"/>
                      <w:sz w:val="21"/>
                      <w:szCs w:val="21"/>
                    </w:rPr>
                    <w:t>车辆</w:t>
                  </w:r>
                  <w:r>
                    <w:rPr>
                      <w:rFonts w:hint="default" w:ascii="Times New Roman" w:hAnsi="Times New Roman" w:eastAsia="宋体" w:cs="Times New Roman"/>
                      <w:snapToGrid w:val="0"/>
                      <w:color w:val="000000"/>
                      <w:kern w:val="0"/>
                      <w:sz w:val="21"/>
                      <w:szCs w:val="21"/>
                      <w:lang w:val="en-US" w:eastAsia="zh-CN"/>
                    </w:rPr>
                    <w:t>与已预处理车辆的堆放暂存</w:t>
                  </w:r>
                </w:p>
              </w:tc>
              <w:tc>
                <w:tcPr>
                  <w:tcW w:w="651" w:type="dxa"/>
                  <w:tcBorders>
                    <w:tl2br w:val="nil"/>
                    <w:tr2bl w:val="nil"/>
                  </w:tcBorders>
                  <w:noWrap w:val="0"/>
                  <w:vAlign w:val="center"/>
                </w:tcPr>
                <w:p w14:paraId="5EC30B5D">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新建</w:t>
                  </w:r>
                </w:p>
              </w:tc>
            </w:tr>
            <w:tr w14:paraId="3660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7" w:type="dxa"/>
                  <w:vMerge w:val="restart"/>
                  <w:tcBorders>
                    <w:tl2br w:val="nil"/>
                    <w:tr2bl w:val="nil"/>
                  </w:tcBorders>
                  <w:noWrap w:val="0"/>
                  <w:vAlign w:val="center"/>
                </w:tcPr>
                <w:p w14:paraId="59A52ABD">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w:t>
                  </w:r>
                </w:p>
                <w:p w14:paraId="0072BE4F">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409" w:type="dxa"/>
                  <w:tcBorders>
                    <w:tl2br w:val="nil"/>
                    <w:tr2bl w:val="nil"/>
                  </w:tcBorders>
                  <w:noWrap w:val="0"/>
                  <w:vAlign w:val="center"/>
                </w:tcPr>
                <w:p w14:paraId="1DE8F457">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5591" w:type="dxa"/>
                  <w:tcBorders>
                    <w:tl2br w:val="nil"/>
                    <w:tr2bl w:val="nil"/>
                  </w:tcBorders>
                  <w:noWrap w:val="0"/>
                  <w:vAlign w:val="center"/>
                </w:tcPr>
                <w:p w14:paraId="27EB1A1E">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市政</w:t>
                  </w:r>
                  <w:r>
                    <w:rPr>
                      <w:rFonts w:hint="default" w:ascii="Times New Roman" w:hAnsi="Times New Roman" w:eastAsia="宋体" w:cs="Times New Roman"/>
                      <w:color w:val="auto"/>
                      <w:szCs w:val="21"/>
                      <w:highlight w:val="none"/>
                      <w:lang w:val="en-US" w:eastAsia="zh-CN"/>
                    </w:rPr>
                    <w:t>电网供给</w:t>
                  </w:r>
                </w:p>
              </w:tc>
              <w:tc>
                <w:tcPr>
                  <w:tcW w:w="651" w:type="dxa"/>
                  <w:tcBorders>
                    <w:tl2br w:val="nil"/>
                    <w:tr2bl w:val="nil"/>
                  </w:tcBorders>
                  <w:noWrap w:val="0"/>
                  <w:vAlign w:val="center"/>
                </w:tcPr>
                <w:p w14:paraId="6E0BD650">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依托</w:t>
                  </w:r>
                </w:p>
              </w:tc>
            </w:tr>
            <w:tr w14:paraId="7D27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67" w:type="dxa"/>
                  <w:vMerge w:val="continue"/>
                  <w:tcBorders>
                    <w:tl2br w:val="nil"/>
                    <w:tr2bl w:val="nil"/>
                  </w:tcBorders>
                  <w:noWrap w:val="0"/>
                  <w:vAlign w:val="center"/>
                </w:tcPr>
                <w:p w14:paraId="4F613272">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528759C3">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供</w:t>
                  </w:r>
                  <w:r>
                    <w:rPr>
                      <w:rFonts w:hint="default" w:ascii="Times New Roman" w:hAnsi="Times New Roman" w:cs="Times New Roman"/>
                      <w:color w:val="auto"/>
                      <w:szCs w:val="21"/>
                      <w:highlight w:val="none"/>
                    </w:rPr>
                    <w:t>水</w:t>
                  </w:r>
                </w:p>
              </w:tc>
              <w:tc>
                <w:tcPr>
                  <w:tcW w:w="5591" w:type="dxa"/>
                  <w:tcBorders>
                    <w:tl2br w:val="nil"/>
                    <w:tr2bl w:val="nil"/>
                  </w:tcBorders>
                  <w:noWrap w:val="0"/>
                  <w:vAlign w:val="center"/>
                </w:tcPr>
                <w:p w14:paraId="1EBEC304">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市政给水管网</w:t>
                  </w:r>
                </w:p>
              </w:tc>
              <w:tc>
                <w:tcPr>
                  <w:tcW w:w="651" w:type="dxa"/>
                  <w:tcBorders>
                    <w:tl2br w:val="nil"/>
                    <w:tr2bl w:val="nil"/>
                  </w:tcBorders>
                  <w:noWrap w:val="0"/>
                  <w:vAlign w:val="center"/>
                </w:tcPr>
                <w:p w14:paraId="2989DCC9">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依托</w:t>
                  </w:r>
                </w:p>
              </w:tc>
            </w:tr>
            <w:tr w14:paraId="6FB7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67" w:type="dxa"/>
                  <w:vMerge w:val="continue"/>
                  <w:tcBorders>
                    <w:tl2br w:val="nil"/>
                    <w:tr2bl w:val="nil"/>
                  </w:tcBorders>
                  <w:noWrap w:val="0"/>
                  <w:vAlign w:val="center"/>
                </w:tcPr>
                <w:p w14:paraId="3A5394DC">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73D49D12">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w:t>
                  </w:r>
                </w:p>
              </w:tc>
              <w:tc>
                <w:tcPr>
                  <w:tcW w:w="5591" w:type="dxa"/>
                  <w:tcBorders>
                    <w:tl2br w:val="nil"/>
                    <w:tr2bl w:val="nil"/>
                  </w:tcBorders>
                  <w:noWrap w:val="0"/>
                  <w:vAlign w:val="center"/>
                </w:tcPr>
                <w:p w14:paraId="6A4EF70E">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市政排水管网</w:t>
                  </w:r>
                </w:p>
              </w:tc>
              <w:tc>
                <w:tcPr>
                  <w:tcW w:w="651" w:type="dxa"/>
                  <w:tcBorders>
                    <w:tl2br w:val="nil"/>
                    <w:tr2bl w:val="nil"/>
                  </w:tcBorders>
                  <w:noWrap w:val="0"/>
                  <w:vAlign w:val="center"/>
                </w:tcPr>
                <w:p w14:paraId="34977DF0">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依托</w:t>
                  </w:r>
                </w:p>
              </w:tc>
            </w:tr>
            <w:tr w14:paraId="1DD7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7" w:type="dxa"/>
                  <w:vMerge w:val="continue"/>
                  <w:tcBorders>
                    <w:tl2br w:val="nil"/>
                    <w:tr2bl w:val="nil"/>
                  </w:tcBorders>
                  <w:noWrap w:val="0"/>
                  <w:vAlign w:val="center"/>
                </w:tcPr>
                <w:p w14:paraId="2606A199">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3A06AAA0">
                  <w:pPr>
                    <w:snapToGrid w:val="0"/>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供热</w:t>
                  </w:r>
                </w:p>
              </w:tc>
              <w:tc>
                <w:tcPr>
                  <w:tcW w:w="5591" w:type="dxa"/>
                  <w:tcBorders>
                    <w:tl2br w:val="nil"/>
                    <w:tr2bl w:val="nil"/>
                  </w:tcBorders>
                  <w:noWrap w:val="0"/>
                  <w:vAlign w:val="center"/>
                </w:tcPr>
                <w:p w14:paraId="10579175">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电散热器采暖</w:t>
                  </w:r>
                </w:p>
              </w:tc>
              <w:tc>
                <w:tcPr>
                  <w:tcW w:w="651" w:type="dxa"/>
                  <w:tcBorders>
                    <w:tl2br w:val="nil"/>
                    <w:tr2bl w:val="nil"/>
                  </w:tcBorders>
                  <w:noWrap w:val="0"/>
                  <w:vAlign w:val="center"/>
                </w:tcPr>
                <w:p w14:paraId="1FEDD06D">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新建</w:t>
                  </w:r>
                </w:p>
              </w:tc>
            </w:tr>
            <w:tr w14:paraId="0846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667" w:type="dxa"/>
                  <w:vMerge w:val="restart"/>
                  <w:tcBorders>
                    <w:tl2br w:val="nil"/>
                    <w:tr2bl w:val="nil"/>
                  </w:tcBorders>
                  <w:noWrap w:val="0"/>
                  <w:vAlign w:val="center"/>
                </w:tcPr>
                <w:p w14:paraId="01F3FB3E">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w:t>
                  </w:r>
                </w:p>
                <w:p w14:paraId="46804AC1">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409" w:type="dxa"/>
                  <w:tcBorders>
                    <w:tl2br w:val="nil"/>
                    <w:tr2bl w:val="nil"/>
                  </w:tcBorders>
                  <w:noWrap w:val="0"/>
                  <w:vAlign w:val="center"/>
                </w:tcPr>
                <w:p w14:paraId="14B8F798">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5591" w:type="dxa"/>
                  <w:tcBorders>
                    <w:tl2br w:val="nil"/>
                    <w:tr2bl w:val="nil"/>
                  </w:tcBorders>
                  <w:noWrap w:val="0"/>
                  <w:vAlign w:val="center"/>
                </w:tcPr>
                <w:p w14:paraId="6EF622C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项目废油液挥发废气、废制冷剂抽取废气、危废暂存间废气</w:t>
                  </w:r>
                  <w:r>
                    <w:rPr>
                      <w:rFonts w:hint="eastAsia" w:cs="Times New Roman"/>
                      <w:color w:val="auto"/>
                      <w:szCs w:val="21"/>
                      <w:highlight w:val="none"/>
                      <w:lang w:val="en-US" w:eastAsia="zh-CN"/>
                    </w:rPr>
                    <w:t>分别</w:t>
                  </w:r>
                  <w:r>
                    <w:rPr>
                      <w:rFonts w:hint="default" w:ascii="Times New Roman" w:hAnsi="Times New Roman" w:cs="Times New Roman"/>
                      <w:color w:val="auto"/>
                      <w:szCs w:val="21"/>
                      <w:highlight w:val="none"/>
                    </w:rPr>
                    <w:t>经</w:t>
                  </w:r>
                  <w:r>
                    <w:rPr>
                      <w:rFonts w:hint="eastAsia" w:cs="Times New Roman"/>
                      <w:color w:val="auto"/>
                      <w:szCs w:val="21"/>
                      <w:highlight w:val="none"/>
                      <w:lang w:val="en-US" w:eastAsia="zh-CN"/>
                    </w:rPr>
                    <w:t>集气罩+二级</w:t>
                  </w:r>
                  <w:r>
                    <w:rPr>
                      <w:rFonts w:hint="default" w:ascii="Times New Roman" w:hAnsi="Times New Roman" w:cs="Times New Roman"/>
                      <w:color w:val="auto"/>
                      <w:szCs w:val="21"/>
                      <w:highlight w:val="none"/>
                    </w:rPr>
                    <w:t>活性炭吸附+15m高排气筒（DA00</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）后达标排放。解体破拆过程中产生的废钢铁处理粉尘经集气罩+布袋除尘+15m高排气筒（DA00</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）后达标排放</w:t>
                  </w:r>
                </w:p>
              </w:tc>
              <w:tc>
                <w:tcPr>
                  <w:tcW w:w="651" w:type="dxa"/>
                  <w:tcBorders>
                    <w:tl2br w:val="nil"/>
                    <w:tr2bl w:val="nil"/>
                  </w:tcBorders>
                  <w:noWrap w:val="0"/>
                  <w:vAlign w:val="center"/>
                </w:tcPr>
                <w:p w14:paraId="1E739778">
                  <w:pPr>
                    <w:snapToGrid w:val="0"/>
                    <w:jc w:val="center"/>
                    <w:rPr>
                      <w:rFonts w:hint="default" w:ascii="Times New Roman" w:hAnsi="Times New Roman" w:eastAsia="宋体" w:cs="Times New Roman"/>
                      <w:color w:val="FF0000"/>
                      <w:szCs w:val="21"/>
                      <w:highlight w:val="none"/>
                      <w:lang w:val="en-US" w:eastAsia="zh-CN"/>
                    </w:rPr>
                  </w:pPr>
                  <w:r>
                    <w:rPr>
                      <w:rFonts w:hint="eastAsia" w:cs="Times New Roman"/>
                      <w:color w:val="auto"/>
                      <w:szCs w:val="21"/>
                      <w:highlight w:val="none"/>
                      <w:lang w:val="en-US" w:eastAsia="zh-CN"/>
                    </w:rPr>
                    <w:t>/</w:t>
                  </w:r>
                </w:p>
              </w:tc>
            </w:tr>
            <w:tr w14:paraId="2811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67" w:type="dxa"/>
                  <w:vMerge w:val="continue"/>
                  <w:tcBorders>
                    <w:tl2br w:val="nil"/>
                    <w:tr2bl w:val="nil"/>
                  </w:tcBorders>
                  <w:noWrap w:val="0"/>
                  <w:vAlign w:val="center"/>
                </w:tcPr>
                <w:p w14:paraId="51239C23">
                  <w:pPr>
                    <w:snapToGrid w:val="0"/>
                    <w:jc w:val="center"/>
                    <w:rPr>
                      <w:rFonts w:hint="default" w:ascii="Times New Roman" w:hAnsi="Times New Roman" w:cs="Times New Roman"/>
                      <w:color w:val="auto"/>
                      <w:szCs w:val="21"/>
                      <w:highlight w:val="none"/>
                    </w:rPr>
                  </w:pPr>
                </w:p>
              </w:tc>
              <w:tc>
                <w:tcPr>
                  <w:tcW w:w="1409" w:type="dxa"/>
                  <w:tcBorders>
                    <w:tl2br w:val="nil"/>
                    <w:tr2bl w:val="nil"/>
                  </w:tcBorders>
                  <w:noWrap w:val="0"/>
                  <w:vAlign w:val="center"/>
                </w:tcPr>
                <w:p w14:paraId="2D9C9E17">
                  <w:pPr>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废水</w:t>
                  </w:r>
                </w:p>
              </w:tc>
              <w:tc>
                <w:tcPr>
                  <w:tcW w:w="5591" w:type="dxa"/>
                  <w:tcBorders>
                    <w:tl2br w:val="nil"/>
                    <w:tr2bl w:val="nil"/>
                  </w:tcBorders>
                  <w:noWrap w:val="0"/>
                  <w:vAlign w:val="center"/>
                </w:tcPr>
                <w:p w14:paraId="33791E56">
                  <w:pPr>
                    <w:snapToGrid w:val="0"/>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车辆拆解车间洗地废水</w:t>
                  </w:r>
                  <w:r>
                    <w:rPr>
                      <w:rFonts w:hint="eastAsia" w:cs="Times New Roman"/>
                      <w:color w:val="auto"/>
                      <w:szCs w:val="21"/>
                      <w:highlight w:val="none"/>
                      <w:lang w:val="en-US" w:eastAsia="zh-CN"/>
                    </w:rPr>
                    <w:t>经油水分离器处理后</w:t>
                  </w:r>
                  <w:r>
                    <w:rPr>
                      <w:rFonts w:hint="eastAsia" w:ascii="Times New Roman" w:hAnsi="Times New Roman" w:cs="Times New Roman"/>
                      <w:color w:val="auto"/>
                      <w:szCs w:val="21"/>
                      <w:highlight w:val="none"/>
                      <w:lang w:val="en-US" w:eastAsia="zh-CN"/>
                    </w:rPr>
                    <w:t>与生活污水经排水管网一起进入68团污水处理厂进行深度处理，尾水执行《城镇污水处理厂污染物排放标准》（GB18918-2002）一级A标准</w:t>
                  </w:r>
                </w:p>
              </w:tc>
              <w:tc>
                <w:tcPr>
                  <w:tcW w:w="651" w:type="dxa"/>
                  <w:tcBorders>
                    <w:tl2br w:val="nil"/>
                    <w:tr2bl w:val="nil"/>
                  </w:tcBorders>
                  <w:noWrap w:val="0"/>
                  <w:vAlign w:val="center"/>
                </w:tcPr>
                <w:p w14:paraId="329040A4">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3C61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67" w:type="dxa"/>
                  <w:vMerge w:val="continue"/>
                  <w:tcBorders>
                    <w:tl2br w:val="nil"/>
                    <w:tr2bl w:val="nil"/>
                  </w:tcBorders>
                  <w:noWrap w:val="0"/>
                  <w:vAlign w:val="center"/>
                </w:tcPr>
                <w:p w14:paraId="29494B6E">
                  <w:pPr>
                    <w:snapToGrid w:val="0"/>
                    <w:jc w:val="center"/>
                    <w:rPr>
                      <w:rFonts w:hint="default" w:ascii="Times New Roman" w:hAnsi="Times New Roman" w:cs="Times New Roman"/>
                      <w:color w:val="FF0000"/>
                      <w:szCs w:val="21"/>
                      <w:highlight w:val="none"/>
                    </w:rPr>
                  </w:pPr>
                </w:p>
              </w:tc>
              <w:tc>
                <w:tcPr>
                  <w:tcW w:w="1409" w:type="dxa"/>
                  <w:tcBorders>
                    <w:tl2br w:val="nil"/>
                    <w:tr2bl w:val="nil"/>
                  </w:tcBorders>
                  <w:noWrap w:val="0"/>
                  <w:vAlign w:val="center"/>
                </w:tcPr>
                <w:p w14:paraId="731BDAF8">
                  <w:pPr>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固废</w:t>
                  </w:r>
                </w:p>
              </w:tc>
              <w:tc>
                <w:tcPr>
                  <w:tcW w:w="5591" w:type="dxa"/>
                  <w:tcBorders>
                    <w:tl2br w:val="nil"/>
                    <w:tr2bl w:val="nil"/>
                  </w:tcBorders>
                  <w:noWrap w:val="0"/>
                  <w:vAlign w:val="center"/>
                </w:tcPr>
                <w:p w14:paraId="4F161A80">
                  <w:pPr>
                    <w:snapToGrid w:val="0"/>
                    <w:jc w:val="both"/>
                    <w:rPr>
                      <w:rFonts w:hint="default" w:ascii="Times New Roman" w:hAnsi="Times New Roman" w:eastAsia="宋体" w:cs="Times New Roman"/>
                      <w:snapToGrid w:val="0"/>
                      <w:color w:val="000000"/>
                      <w:kern w:val="0"/>
                      <w:sz w:val="21"/>
                      <w:szCs w:val="21"/>
                    </w:rPr>
                  </w:pPr>
                  <w:r>
                    <w:rPr>
                      <w:rFonts w:hint="eastAsia" w:cs="Times New Roman"/>
                      <w:color w:val="auto"/>
                      <w:szCs w:val="21"/>
                      <w:highlight w:val="none"/>
                      <w:lang w:val="en-US" w:eastAsia="zh-CN"/>
                    </w:rPr>
                    <w:t>生活垃圾：厂区内设置垃圾桶，集中收集后定期交由环卫部门外运至68团垃圾填埋场。</w:t>
                  </w:r>
                </w:p>
                <w:p w14:paraId="52009C49">
                  <w:pPr>
                    <w:snapToGrid w:val="0"/>
                    <w:jc w:val="both"/>
                    <w:rPr>
                      <w:rFonts w:hint="eastAsia" w:cs="Times New Roman"/>
                      <w:color w:val="auto"/>
                      <w:szCs w:val="21"/>
                      <w:highlight w:val="none"/>
                      <w:lang w:val="en-US" w:eastAsia="zh-CN"/>
                    </w:rPr>
                  </w:pPr>
                  <w:r>
                    <w:rPr>
                      <w:rFonts w:hint="default" w:cs="Times New Roman"/>
                      <w:color w:val="auto"/>
                      <w:szCs w:val="21"/>
                      <w:highlight w:val="none"/>
                      <w:lang w:val="en-US" w:eastAsia="zh-CN"/>
                    </w:rPr>
                    <w:t>项目生产过程产生的</w:t>
                  </w:r>
                  <w:r>
                    <w:rPr>
                      <w:rFonts w:hint="eastAsia" w:cs="Times New Roman"/>
                      <w:color w:val="auto"/>
                      <w:szCs w:val="21"/>
                      <w:highlight w:val="none"/>
                      <w:lang w:val="en-US" w:eastAsia="zh-CN"/>
                    </w:rPr>
                    <w:t>一般</w:t>
                  </w:r>
                  <w:r>
                    <w:rPr>
                      <w:rFonts w:hint="default" w:cs="Times New Roman"/>
                      <w:color w:val="auto"/>
                      <w:szCs w:val="21"/>
                      <w:highlight w:val="none"/>
                      <w:lang w:val="en-US" w:eastAsia="zh-CN"/>
                    </w:rPr>
                    <w:t>固废暂存于厂区内一般固废场地，后出售给相关物资回收单位回收利用</w:t>
                  </w:r>
                  <w:r>
                    <w:rPr>
                      <w:rFonts w:hint="eastAsia" w:cs="Times New Roman"/>
                      <w:color w:val="auto"/>
                      <w:szCs w:val="21"/>
                      <w:highlight w:val="none"/>
                      <w:lang w:val="en-US" w:eastAsia="zh-CN"/>
                    </w:rPr>
                    <w:t>；</w:t>
                  </w:r>
                </w:p>
                <w:p w14:paraId="75A58205">
                  <w:pPr>
                    <w:snapToGrid w:val="0"/>
                    <w:jc w:val="both"/>
                    <w:rPr>
                      <w:rFonts w:hint="default" w:cs="Times New Roman"/>
                      <w:color w:val="auto"/>
                      <w:szCs w:val="21"/>
                      <w:highlight w:val="none"/>
                      <w:lang w:val="en-US" w:eastAsia="zh-CN"/>
                    </w:rPr>
                  </w:pPr>
                  <w:r>
                    <w:rPr>
                      <w:rFonts w:hint="eastAsia" w:cs="Times New Roman"/>
                      <w:color w:val="auto"/>
                      <w:szCs w:val="21"/>
                      <w:highlight w:val="none"/>
                      <w:lang w:val="en-US" w:eastAsia="zh-CN"/>
                    </w:rPr>
                    <w:t>危险废物在</w:t>
                  </w:r>
                  <w:r>
                    <w:rPr>
                      <w:rFonts w:hint="default" w:cs="Times New Roman"/>
                      <w:color w:val="auto"/>
                      <w:szCs w:val="21"/>
                      <w:highlight w:val="none"/>
                      <w:lang w:val="en-US" w:eastAsia="zh-CN"/>
                    </w:rPr>
                    <w:t>危废暂存间分类暂存，再委托有资质的单位定期清运处置</w:t>
                  </w:r>
                  <w:r>
                    <w:rPr>
                      <w:rFonts w:hint="eastAsia" w:cs="Times New Roman"/>
                      <w:color w:val="auto"/>
                      <w:szCs w:val="21"/>
                      <w:highlight w:val="none"/>
                      <w:lang w:val="en-US" w:eastAsia="zh-CN"/>
                    </w:rPr>
                    <w:t>。</w:t>
                  </w:r>
                </w:p>
              </w:tc>
              <w:tc>
                <w:tcPr>
                  <w:tcW w:w="651" w:type="dxa"/>
                  <w:tcBorders>
                    <w:tl2br w:val="nil"/>
                    <w:tr2bl w:val="nil"/>
                  </w:tcBorders>
                  <w:noWrap w:val="0"/>
                  <w:vAlign w:val="center"/>
                </w:tcPr>
                <w:p w14:paraId="311D77F2">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r w14:paraId="77D8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67" w:type="dxa"/>
                  <w:vMerge w:val="continue"/>
                  <w:tcBorders>
                    <w:tl2br w:val="nil"/>
                    <w:tr2bl w:val="nil"/>
                  </w:tcBorders>
                  <w:noWrap w:val="0"/>
                  <w:vAlign w:val="center"/>
                </w:tcPr>
                <w:p w14:paraId="69733CD7">
                  <w:pPr>
                    <w:snapToGrid w:val="0"/>
                    <w:jc w:val="center"/>
                    <w:rPr>
                      <w:rFonts w:hint="default" w:ascii="Times New Roman" w:hAnsi="Times New Roman" w:cs="Times New Roman"/>
                      <w:color w:val="FF0000"/>
                      <w:highlight w:val="none"/>
                    </w:rPr>
                  </w:pPr>
                </w:p>
              </w:tc>
              <w:tc>
                <w:tcPr>
                  <w:tcW w:w="1409" w:type="dxa"/>
                  <w:tcBorders>
                    <w:tl2br w:val="nil"/>
                    <w:tr2bl w:val="nil"/>
                  </w:tcBorders>
                  <w:noWrap w:val="0"/>
                  <w:vAlign w:val="center"/>
                </w:tcPr>
                <w:p w14:paraId="6088FDEE">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5591" w:type="dxa"/>
                  <w:tcBorders>
                    <w:tl2br w:val="nil"/>
                    <w:tr2bl w:val="nil"/>
                  </w:tcBorders>
                  <w:noWrap w:val="0"/>
                  <w:vAlign w:val="center"/>
                </w:tcPr>
                <w:p w14:paraId="20BE799C">
                  <w:pPr>
                    <w:snapToGrid w:val="0"/>
                    <w:jc w:val="both"/>
                    <w:rPr>
                      <w:rFonts w:hint="default"/>
                      <w:color w:val="auto"/>
                      <w:highlight w:val="none"/>
                      <w:lang w:val="en-US" w:eastAsia="zh-CN"/>
                    </w:rPr>
                  </w:pPr>
                  <w:r>
                    <w:rPr>
                      <w:rFonts w:hint="default"/>
                      <w:color w:val="auto"/>
                      <w:highlight w:val="none"/>
                      <w:lang w:val="en-US" w:eastAsia="zh-CN"/>
                    </w:rPr>
                    <w:t>选用低噪声设备，对于产噪设备采取隔声、基础减震等措施</w:t>
                  </w:r>
                </w:p>
              </w:tc>
              <w:tc>
                <w:tcPr>
                  <w:tcW w:w="651" w:type="dxa"/>
                  <w:tcBorders>
                    <w:tl2br w:val="nil"/>
                    <w:tr2bl w:val="nil"/>
                  </w:tcBorders>
                  <w:noWrap w:val="0"/>
                  <w:vAlign w:val="center"/>
                </w:tcPr>
                <w:p w14:paraId="7977803B">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w:t>
                  </w:r>
                </w:p>
              </w:tc>
            </w:tr>
          </w:tbl>
          <w:p w14:paraId="0A618488">
            <w:pPr>
              <w:keepNext w:val="0"/>
              <w:keepLines w:val="0"/>
              <w:pageBreakBefore w:val="0"/>
              <w:widowControl w:val="0"/>
              <w:kinsoku/>
              <w:wordWrap/>
              <w:overflowPunct/>
              <w:topLinePunct w:val="0"/>
              <w:autoSpaceDE w:val="0"/>
              <w:autoSpaceDN w:val="0"/>
              <w:bidi w:val="0"/>
              <w:adjustRightInd w:val="0"/>
              <w:snapToGrid w:val="0"/>
              <w:spacing w:line="420" w:lineRule="exact"/>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2、</w:t>
            </w:r>
            <w:r>
              <w:rPr>
                <w:rFonts w:hint="default" w:ascii="Times New Roman" w:hAnsi="Times New Roman" w:eastAsia="宋体" w:cs="Times New Roman"/>
                <w:b/>
                <w:bCs/>
                <w:color w:val="auto"/>
                <w:kern w:val="44"/>
                <w:sz w:val="24"/>
                <w:szCs w:val="24"/>
                <w:highlight w:val="none"/>
                <w:lang w:val="en-US" w:eastAsia="zh-CN"/>
              </w:rPr>
              <w:t>主要生产设备</w:t>
            </w:r>
          </w:p>
          <w:p w14:paraId="7096815F">
            <w:pPr>
              <w:pStyle w:val="36"/>
              <w:rPr>
                <w:rFonts w:hint="default"/>
                <w:lang w:val="en-US" w:eastAsia="zh-CN"/>
              </w:rPr>
            </w:pPr>
            <w:r>
              <w:rPr>
                <w:rFonts w:hint="default" w:ascii="Times New Roman" w:hAnsi="Times New Roman" w:eastAsia="宋体" w:cs="Times New Roman"/>
                <w:color w:val="auto"/>
                <w:sz w:val="24"/>
                <w:szCs w:val="22"/>
                <w:highlight w:val="none"/>
                <w:lang w:val="en-US" w:eastAsia="zh-CN"/>
              </w:rPr>
              <w:t>主要生产设备见表</w:t>
            </w:r>
            <w:r>
              <w:rPr>
                <w:rFonts w:hint="default" w:ascii="Times New Roman" w:hAnsi="Times New Roman" w:cs="Times New Roman"/>
                <w:color w:val="auto"/>
                <w:sz w:val="24"/>
                <w:szCs w:val="22"/>
                <w:highlight w:val="none"/>
                <w:lang w:val="en-US" w:eastAsia="zh-CN"/>
              </w:rPr>
              <w:t>2</w:t>
            </w:r>
            <w:r>
              <w:rPr>
                <w:rFonts w:hint="eastAsia" w:cs="Times New Roman"/>
                <w:color w:val="auto"/>
                <w:sz w:val="24"/>
                <w:szCs w:val="22"/>
                <w:highlight w:val="none"/>
                <w:lang w:val="en-US" w:eastAsia="zh-CN"/>
              </w:rPr>
              <w:t>-2</w:t>
            </w:r>
            <w:r>
              <w:rPr>
                <w:rFonts w:hint="default" w:ascii="Times New Roman" w:hAnsi="Times New Roman" w:eastAsia="宋体" w:cs="Times New Roman"/>
                <w:color w:val="auto"/>
                <w:sz w:val="24"/>
                <w:szCs w:val="22"/>
                <w:highlight w:val="none"/>
                <w:lang w:val="en-US" w:eastAsia="zh-CN"/>
              </w:rPr>
              <w:t>。</w:t>
            </w:r>
          </w:p>
          <w:p w14:paraId="6459B301">
            <w:pPr>
              <w:spacing w:line="440" w:lineRule="exact"/>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表2</w:t>
            </w: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 xml:space="preserve">                   主要设备表</w:t>
            </w:r>
          </w:p>
          <w:tbl>
            <w:tblPr>
              <w:tblStyle w:val="28"/>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56"/>
              <w:gridCol w:w="2529"/>
              <w:gridCol w:w="2600"/>
              <w:gridCol w:w="1091"/>
              <w:gridCol w:w="1336"/>
            </w:tblGrid>
            <w:tr w14:paraId="4F01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6" w:hRule="atLeast"/>
              </w:trPr>
              <w:tc>
                <w:tcPr>
                  <w:tcW w:w="756" w:type="dxa"/>
                  <w:tcBorders>
                    <w:tl2br w:val="nil"/>
                    <w:tr2bl w:val="nil"/>
                  </w:tcBorders>
                  <w:noWrap w:val="0"/>
                  <w:vAlign w:val="center"/>
                </w:tcPr>
                <w:p w14:paraId="1B6BC8D4">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序号</w:t>
                  </w:r>
                </w:p>
              </w:tc>
              <w:tc>
                <w:tcPr>
                  <w:tcW w:w="2529" w:type="dxa"/>
                  <w:tcBorders>
                    <w:tl2br w:val="nil"/>
                    <w:tr2bl w:val="nil"/>
                  </w:tcBorders>
                  <w:noWrap w:val="0"/>
                  <w:vAlign w:val="center"/>
                </w:tcPr>
                <w:p w14:paraId="6F00DDB3">
                  <w:pPr>
                    <w:widowControl/>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b/>
                      <w:color w:val="auto"/>
                      <w:kern w:val="0"/>
                      <w:sz w:val="21"/>
                      <w:szCs w:val="21"/>
                      <w:highlight w:val="none"/>
                      <w:lang w:bidi="ar"/>
                    </w:rPr>
                    <w:t>设备名称</w:t>
                  </w:r>
                </w:p>
              </w:tc>
              <w:tc>
                <w:tcPr>
                  <w:tcW w:w="2600" w:type="dxa"/>
                  <w:tcBorders>
                    <w:tl2br w:val="nil"/>
                    <w:tr2bl w:val="nil"/>
                  </w:tcBorders>
                  <w:noWrap w:val="0"/>
                  <w:vAlign w:val="center"/>
                </w:tcPr>
                <w:p w14:paraId="5584AAA7">
                  <w:pPr>
                    <w:widowControl/>
                    <w:jc w:val="center"/>
                    <w:textAlignment w:val="center"/>
                    <w:rPr>
                      <w:rFonts w:hint="default" w:ascii="Times New Roman" w:hAnsi="Times New Roman" w:eastAsia="宋体" w:cs="Times New Roman"/>
                      <w:b/>
                      <w:color w:val="auto"/>
                      <w:kern w:val="0"/>
                      <w:sz w:val="21"/>
                      <w:szCs w:val="21"/>
                      <w:highlight w:val="none"/>
                      <w:lang w:eastAsia="zh-CN" w:bidi="ar"/>
                    </w:rPr>
                  </w:pPr>
                  <w:r>
                    <w:rPr>
                      <w:rFonts w:hint="default" w:ascii="Times New Roman" w:hAnsi="Times New Roman" w:eastAsia="宋体" w:cs="Times New Roman"/>
                      <w:b/>
                      <w:color w:val="auto"/>
                      <w:kern w:val="0"/>
                      <w:sz w:val="21"/>
                      <w:szCs w:val="21"/>
                      <w:highlight w:val="none"/>
                      <w:lang w:eastAsia="zh-CN" w:bidi="ar"/>
                    </w:rPr>
                    <w:t>规格型号</w:t>
                  </w:r>
                </w:p>
              </w:tc>
              <w:tc>
                <w:tcPr>
                  <w:tcW w:w="1091" w:type="dxa"/>
                  <w:tcBorders>
                    <w:tl2br w:val="nil"/>
                    <w:tr2bl w:val="nil"/>
                  </w:tcBorders>
                  <w:noWrap w:val="0"/>
                  <w:vAlign w:val="center"/>
                </w:tcPr>
                <w:p w14:paraId="105C4C0E">
                  <w:pPr>
                    <w:widowControl/>
                    <w:jc w:val="center"/>
                    <w:textAlignment w:val="center"/>
                    <w:rPr>
                      <w:rFonts w:hint="default" w:ascii="Times New Roman" w:hAnsi="Times New Roman" w:eastAsia="宋体" w:cs="Times New Roman"/>
                      <w:b/>
                      <w:color w:val="auto"/>
                      <w:kern w:val="0"/>
                      <w:sz w:val="21"/>
                      <w:szCs w:val="21"/>
                      <w:highlight w:val="none"/>
                      <w:lang w:eastAsia="zh-CN" w:bidi="ar"/>
                    </w:rPr>
                  </w:pPr>
                  <w:r>
                    <w:rPr>
                      <w:rFonts w:hint="default" w:ascii="Times New Roman" w:hAnsi="Times New Roman" w:eastAsia="宋体" w:cs="Times New Roman"/>
                      <w:b/>
                      <w:color w:val="auto"/>
                      <w:kern w:val="0"/>
                      <w:sz w:val="21"/>
                      <w:szCs w:val="21"/>
                      <w:highlight w:val="none"/>
                      <w:lang w:val="en-US" w:eastAsia="zh-CN" w:bidi="ar"/>
                    </w:rPr>
                    <w:t>数量</w:t>
                  </w:r>
                </w:p>
              </w:tc>
              <w:tc>
                <w:tcPr>
                  <w:tcW w:w="1336" w:type="dxa"/>
                  <w:tcBorders>
                    <w:tl2br w:val="nil"/>
                    <w:tr2bl w:val="nil"/>
                  </w:tcBorders>
                  <w:noWrap w:val="0"/>
                  <w:vAlign w:val="center"/>
                </w:tcPr>
                <w:p w14:paraId="53148B13">
                  <w:pPr>
                    <w:widowControl/>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color w:val="auto"/>
                      <w:kern w:val="0"/>
                      <w:sz w:val="21"/>
                      <w:szCs w:val="21"/>
                      <w:highlight w:val="none"/>
                      <w:lang w:val="en-US" w:eastAsia="zh-CN" w:bidi="ar"/>
                    </w:rPr>
                    <w:t>单位</w:t>
                  </w:r>
                </w:p>
              </w:tc>
            </w:tr>
            <w:tr w14:paraId="5BCD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6" w:hRule="atLeast"/>
              </w:trPr>
              <w:tc>
                <w:tcPr>
                  <w:tcW w:w="8312" w:type="dxa"/>
                  <w:gridSpan w:val="5"/>
                  <w:tcBorders>
                    <w:tl2br w:val="nil"/>
                    <w:tr2bl w:val="nil"/>
                  </w:tcBorders>
                  <w:noWrap w:val="0"/>
                  <w:vAlign w:val="center"/>
                </w:tcPr>
                <w:p w14:paraId="51182023">
                  <w:pPr>
                    <w:widowControl/>
                    <w:jc w:val="center"/>
                    <w:textAlignment w:val="center"/>
                    <w:rPr>
                      <w:rFonts w:hint="default" w:ascii="Times New Roman" w:hAnsi="Times New Roman" w:eastAsia="宋体" w:cs="Times New Roman"/>
                      <w:b/>
                      <w:color w:val="auto"/>
                      <w:kern w:val="0"/>
                      <w:sz w:val="21"/>
                      <w:szCs w:val="21"/>
                      <w:highlight w:val="none"/>
                      <w:lang w:val="en-US" w:eastAsia="zh-CN" w:bidi="ar"/>
                    </w:rPr>
                  </w:pPr>
                  <w:r>
                    <w:rPr>
                      <w:rFonts w:hint="eastAsia" w:cs="Times New Roman"/>
                      <w:b/>
                      <w:color w:val="auto"/>
                      <w:kern w:val="0"/>
                      <w:sz w:val="21"/>
                      <w:szCs w:val="21"/>
                      <w:highlight w:val="none"/>
                      <w:lang w:val="en-US" w:eastAsia="zh-CN" w:bidi="ar"/>
                    </w:rPr>
                    <w:t>拆解车间</w:t>
                  </w:r>
                </w:p>
              </w:tc>
            </w:tr>
            <w:tr w14:paraId="3C52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4" w:hRule="atLeast"/>
              </w:trPr>
              <w:tc>
                <w:tcPr>
                  <w:tcW w:w="756" w:type="dxa"/>
                  <w:tcBorders>
                    <w:tl2br w:val="nil"/>
                    <w:tr2bl w:val="nil"/>
                  </w:tcBorders>
                  <w:noWrap w:val="0"/>
                  <w:vAlign w:val="center"/>
                </w:tcPr>
                <w:p w14:paraId="7EB8918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2529" w:type="dxa"/>
                  <w:tcBorders>
                    <w:tl2br w:val="nil"/>
                    <w:tr2bl w:val="nil"/>
                  </w:tcBorders>
                  <w:noWrap w:val="0"/>
                  <w:vAlign w:val="center"/>
                </w:tcPr>
                <w:p w14:paraId="379AE9F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16t门式双梁起重机</w:t>
                  </w:r>
                </w:p>
              </w:tc>
              <w:tc>
                <w:tcPr>
                  <w:tcW w:w="2600" w:type="dxa"/>
                  <w:tcBorders>
                    <w:tl2br w:val="nil"/>
                    <w:tr2bl w:val="nil"/>
                  </w:tcBorders>
                  <w:noWrap w:val="0"/>
                  <w:vAlign w:val="center"/>
                </w:tcPr>
                <w:p w14:paraId="3913861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02A8887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3EFF4A8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757F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3CE52D0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2529" w:type="dxa"/>
                  <w:tcBorders>
                    <w:tl2br w:val="nil"/>
                    <w:tr2bl w:val="nil"/>
                  </w:tcBorders>
                  <w:noWrap w:val="0"/>
                  <w:vAlign w:val="center"/>
                </w:tcPr>
                <w:p w14:paraId="3278C6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门式废钢液压剪</w:t>
                  </w:r>
                </w:p>
              </w:tc>
              <w:tc>
                <w:tcPr>
                  <w:tcW w:w="2600" w:type="dxa"/>
                  <w:tcBorders>
                    <w:tl2br w:val="nil"/>
                    <w:tr2bl w:val="nil"/>
                  </w:tcBorders>
                  <w:noWrap w:val="0"/>
                  <w:vAlign w:val="center"/>
                </w:tcPr>
                <w:p w14:paraId="1EC70D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Q91Y-630W</w:t>
                  </w:r>
                </w:p>
              </w:tc>
              <w:tc>
                <w:tcPr>
                  <w:tcW w:w="1091" w:type="dxa"/>
                  <w:tcBorders>
                    <w:tl2br w:val="nil"/>
                    <w:tr2bl w:val="nil"/>
                  </w:tcBorders>
                  <w:noWrap w:val="0"/>
                  <w:vAlign w:val="center"/>
                </w:tcPr>
                <w:p w14:paraId="020E494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694471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4663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14CB364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2529" w:type="dxa"/>
                  <w:tcBorders>
                    <w:tl2br w:val="nil"/>
                    <w:tr2bl w:val="nil"/>
                  </w:tcBorders>
                  <w:noWrap w:val="0"/>
                  <w:vAlign w:val="center"/>
                </w:tcPr>
                <w:p w14:paraId="0E2DF86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电动单梁起重机</w:t>
                  </w:r>
                </w:p>
              </w:tc>
              <w:tc>
                <w:tcPr>
                  <w:tcW w:w="2600" w:type="dxa"/>
                  <w:tcBorders>
                    <w:tl2br w:val="nil"/>
                    <w:tr2bl w:val="nil"/>
                  </w:tcBorders>
                  <w:noWrap w:val="0"/>
                  <w:vAlign w:val="center"/>
                </w:tcPr>
                <w:p w14:paraId="4F5C17F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5t*16.5m</w:t>
                  </w:r>
                </w:p>
              </w:tc>
              <w:tc>
                <w:tcPr>
                  <w:tcW w:w="1091" w:type="dxa"/>
                  <w:tcBorders>
                    <w:tl2br w:val="nil"/>
                    <w:tr2bl w:val="nil"/>
                  </w:tcBorders>
                  <w:noWrap w:val="0"/>
                  <w:vAlign w:val="center"/>
                </w:tcPr>
                <w:p w14:paraId="3240DF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D03C1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63CD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09DA42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2529" w:type="dxa"/>
                  <w:tcBorders>
                    <w:tl2br w:val="nil"/>
                    <w:tr2bl w:val="nil"/>
                  </w:tcBorders>
                  <w:noWrap w:val="0"/>
                  <w:vAlign w:val="center"/>
                </w:tcPr>
                <w:p w14:paraId="5ED48B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电动单梁起重机</w:t>
                  </w:r>
                </w:p>
              </w:tc>
              <w:tc>
                <w:tcPr>
                  <w:tcW w:w="2600" w:type="dxa"/>
                  <w:tcBorders>
                    <w:tl2br w:val="nil"/>
                    <w:tr2bl w:val="nil"/>
                  </w:tcBorders>
                  <w:noWrap w:val="0"/>
                  <w:vAlign w:val="center"/>
                </w:tcPr>
                <w:p w14:paraId="265964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2t*6m</w:t>
                  </w:r>
                </w:p>
              </w:tc>
              <w:tc>
                <w:tcPr>
                  <w:tcW w:w="1091" w:type="dxa"/>
                  <w:tcBorders>
                    <w:tl2br w:val="nil"/>
                    <w:tr2bl w:val="nil"/>
                  </w:tcBorders>
                  <w:noWrap w:val="0"/>
                  <w:vAlign w:val="center"/>
                </w:tcPr>
                <w:p w14:paraId="2EBD90C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622FFD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698C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57AFB5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2529" w:type="dxa"/>
                  <w:tcBorders>
                    <w:tl2br w:val="nil"/>
                    <w:tr2bl w:val="nil"/>
                  </w:tcBorders>
                  <w:noWrap w:val="0"/>
                  <w:vAlign w:val="center"/>
                </w:tcPr>
                <w:p w14:paraId="7911BFD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单杠液压举升机</w:t>
                  </w:r>
                </w:p>
              </w:tc>
              <w:tc>
                <w:tcPr>
                  <w:tcW w:w="2600" w:type="dxa"/>
                  <w:tcBorders>
                    <w:tl2br w:val="nil"/>
                    <w:tr2bl w:val="nil"/>
                  </w:tcBorders>
                  <w:noWrap w:val="0"/>
                  <w:vAlign w:val="center"/>
                </w:tcPr>
                <w:p w14:paraId="18240E4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3t*1.7mQJY3.0-f</w:t>
                  </w:r>
                </w:p>
              </w:tc>
              <w:tc>
                <w:tcPr>
                  <w:tcW w:w="1091" w:type="dxa"/>
                  <w:tcBorders>
                    <w:tl2br w:val="nil"/>
                    <w:tr2bl w:val="nil"/>
                  </w:tcBorders>
                  <w:noWrap w:val="0"/>
                  <w:vAlign w:val="center"/>
                </w:tcPr>
                <w:p w14:paraId="7BFEC4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267F0C3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39EF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50D178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2529" w:type="dxa"/>
                  <w:tcBorders>
                    <w:tl2br w:val="nil"/>
                    <w:tr2bl w:val="nil"/>
                  </w:tcBorders>
                  <w:noWrap w:val="0"/>
                  <w:vAlign w:val="center"/>
                </w:tcPr>
                <w:p w14:paraId="0D0986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汽车翻转平台</w:t>
                  </w:r>
                </w:p>
              </w:tc>
              <w:tc>
                <w:tcPr>
                  <w:tcW w:w="2600" w:type="dxa"/>
                  <w:tcBorders>
                    <w:tl2br w:val="nil"/>
                    <w:tr2bl w:val="nil"/>
                  </w:tcBorders>
                  <w:noWrap w:val="0"/>
                  <w:vAlign w:val="center"/>
                </w:tcPr>
                <w:p w14:paraId="65996B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487BB6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056CDF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3074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3856D7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w:t>
                  </w:r>
                </w:p>
              </w:tc>
              <w:tc>
                <w:tcPr>
                  <w:tcW w:w="2529" w:type="dxa"/>
                  <w:tcBorders>
                    <w:tl2br w:val="nil"/>
                    <w:tr2bl w:val="nil"/>
                  </w:tcBorders>
                  <w:noWrap w:val="0"/>
                  <w:vAlign w:val="center"/>
                </w:tcPr>
                <w:p w14:paraId="584AA76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移动组合式举升机</w:t>
                  </w:r>
                </w:p>
              </w:tc>
              <w:tc>
                <w:tcPr>
                  <w:tcW w:w="2600" w:type="dxa"/>
                  <w:tcBorders>
                    <w:tl2br w:val="nil"/>
                    <w:tr2bl w:val="nil"/>
                  </w:tcBorders>
                  <w:noWrap w:val="0"/>
                  <w:vAlign w:val="center"/>
                </w:tcPr>
                <w:p w14:paraId="6D40881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0BACDAD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436C7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3766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5E74E1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2529" w:type="dxa"/>
                  <w:tcBorders>
                    <w:tl2br w:val="nil"/>
                    <w:tr2bl w:val="nil"/>
                  </w:tcBorders>
                  <w:noWrap w:val="0"/>
                  <w:vAlign w:val="center"/>
                </w:tcPr>
                <w:p w14:paraId="4EF549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轮毂液压拆取机</w:t>
                  </w:r>
                </w:p>
              </w:tc>
              <w:tc>
                <w:tcPr>
                  <w:tcW w:w="2600" w:type="dxa"/>
                  <w:tcBorders>
                    <w:tl2br w:val="nil"/>
                    <w:tr2bl w:val="nil"/>
                  </w:tcBorders>
                  <w:noWrap w:val="0"/>
                  <w:vAlign w:val="center"/>
                </w:tcPr>
                <w:p w14:paraId="133296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007888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3D6284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13A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3ABC30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2529" w:type="dxa"/>
                  <w:tcBorders>
                    <w:tl2br w:val="nil"/>
                    <w:tr2bl w:val="nil"/>
                  </w:tcBorders>
                  <w:noWrap w:val="0"/>
                  <w:vAlign w:val="center"/>
                </w:tcPr>
                <w:p w14:paraId="704A1EF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拆轮胎机</w:t>
                  </w:r>
                </w:p>
              </w:tc>
              <w:tc>
                <w:tcPr>
                  <w:tcW w:w="2600" w:type="dxa"/>
                  <w:tcBorders>
                    <w:tl2br w:val="nil"/>
                    <w:tr2bl w:val="nil"/>
                  </w:tcBorders>
                  <w:noWrap w:val="0"/>
                  <w:vAlign w:val="center"/>
                </w:tcPr>
                <w:p w14:paraId="2C6B7A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4C4A3F1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6ECEDA0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09E9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679675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529" w:type="dxa"/>
                  <w:tcBorders>
                    <w:tl2br w:val="nil"/>
                    <w:tr2bl w:val="nil"/>
                  </w:tcBorders>
                  <w:noWrap w:val="0"/>
                  <w:vAlign w:val="center"/>
                </w:tcPr>
                <w:p w14:paraId="2619B1B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手持大力液压剪</w:t>
                  </w:r>
                </w:p>
              </w:tc>
              <w:tc>
                <w:tcPr>
                  <w:tcW w:w="2600" w:type="dxa"/>
                  <w:tcBorders>
                    <w:tl2br w:val="nil"/>
                    <w:tr2bl w:val="nil"/>
                  </w:tcBorders>
                  <w:noWrap w:val="0"/>
                  <w:vAlign w:val="center"/>
                </w:tcPr>
                <w:p w14:paraId="2C5A6B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4CE18E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5A33CF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3276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2ADB0F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529" w:type="dxa"/>
                  <w:tcBorders>
                    <w:tl2br w:val="nil"/>
                    <w:tr2bl w:val="nil"/>
                  </w:tcBorders>
                  <w:noWrap w:val="0"/>
                  <w:vAlign w:val="center"/>
                </w:tcPr>
                <w:p w14:paraId="713CFE7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快速解体机</w:t>
                  </w:r>
                </w:p>
              </w:tc>
              <w:tc>
                <w:tcPr>
                  <w:tcW w:w="2600" w:type="dxa"/>
                  <w:tcBorders>
                    <w:tl2br w:val="nil"/>
                    <w:tr2bl w:val="nil"/>
                  </w:tcBorders>
                  <w:noWrap w:val="0"/>
                  <w:vAlign w:val="center"/>
                </w:tcPr>
                <w:p w14:paraId="4AC11A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5013D8B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0094DAB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69A4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682306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2529" w:type="dxa"/>
                  <w:tcBorders>
                    <w:tl2br w:val="nil"/>
                    <w:tr2bl w:val="nil"/>
                  </w:tcBorders>
                  <w:noWrap w:val="0"/>
                  <w:vAlign w:val="center"/>
                </w:tcPr>
                <w:p w14:paraId="236119B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废钢大力剪</w:t>
                  </w:r>
                </w:p>
              </w:tc>
              <w:tc>
                <w:tcPr>
                  <w:tcW w:w="2600" w:type="dxa"/>
                  <w:tcBorders>
                    <w:tl2br w:val="nil"/>
                    <w:tr2bl w:val="nil"/>
                  </w:tcBorders>
                  <w:noWrap w:val="0"/>
                  <w:vAlign w:val="center"/>
                </w:tcPr>
                <w:p w14:paraId="06FB8EA7">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3A114CE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CE6CE3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0B4C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24A413B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529" w:type="dxa"/>
                  <w:tcBorders>
                    <w:tl2br w:val="nil"/>
                    <w:tr2bl w:val="nil"/>
                  </w:tcBorders>
                  <w:noWrap w:val="0"/>
                  <w:vAlign w:val="center"/>
                </w:tcPr>
                <w:p w14:paraId="3D1EFB91">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叉车</w:t>
                  </w:r>
                </w:p>
              </w:tc>
              <w:tc>
                <w:tcPr>
                  <w:tcW w:w="2600" w:type="dxa"/>
                  <w:tcBorders>
                    <w:tl2br w:val="nil"/>
                    <w:tr2bl w:val="nil"/>
                  </w:tcBorders>
                  <w:noWrap w:val="0"/>
                  <w:vAlign w:val="center"/>
                </w:tcPr>
                <w:p w14:paraId="476C0744">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4EB6ED7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483414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481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4E79EE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529" w:type="dxa"/>
                  <w:tcBorders>
                    <w:tl2br w:val="nil"/>
                    <w:tr2bl w:val="nil"/>
                  </w:tcBorders>
                  <w:noWrap w:val="0"/>
                  <w:vAlign w:val="center"/>
                </w:tcPr>
                <w:p w14:paraId="784A819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龙门剪</w:t>
                  </w:r>
                </w:p>
              </w:tc>
              <w:tc>
                <w:tcPr>
                  <w:tcW w:w="2600" w:type="dxa"/>
                  <w:tcBorders>
                    <w:tl2br w:val="nil"/>
                    <w:tr2bl w:val="nil"/>
                  </w:tcBorders>
                  <w:noWrap w:val="0"/>
                  <w:vAlign w:val="center"/>
                </w:tcPr>
                <w:p w14:paraId="0C52AE81">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4892746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5E83833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2CF6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7A7C207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529" w:type="dxa"/>
                  <w:tcBorders>
                    <w:tl2br w:val="nil"/>
                    <w:tr2bl w:val="nil"/>
                  </w:tcBorders>
                  <w:noWrap w:val="0"/>
                  <w:vAlign w:val="center"/>
                </w:tcPr>
                <w:p w14:paraId="5035DB2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冷却水切割机械设备</w:t>
                  </w:r>
                </w:p>
              </w:tc>
              <w:tc>
                <w:tcPr>
                  <w:tcW w:w="2600" w:type="dxa"/>
                  <w:tcBorders>
                    <w:tl2br w:val="nil"/>
                    <w:tr2bl w:val="nil"/>
                  </w:tcBorders>
                  <w:noWrap w:val="0"/>
                  <w:vAlign w:val="center"/>
                </w:tcPr>
                <w:p w14:paraId="53EA0A7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u w:val="none"/>
                      <w:lang w:val="en-US" w:eastAsia="zh-CN" w:bidi="ar"/>
                    </w:rPr>
                    <w:t>常规</w:t>
                  </w:r>
                </w:p>
              </w:tc>
              <w:tc>
                <w:tcPr>
                  <w:tcW w:w="1091" w:type="dxa"/>
                  <w:tcBorders>
                    <w:tl2br w:val="nil"/>
                    <w:tr2bl w:val="nil"/>
                  </w:tcBorders>
                  <w:noWrap w:val="0"/>
                  <w:vAlign w:val="center"/>
                </w:tcPr>
                <w:p w14:paraId="1ECA35A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1EF8A86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72F6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1F09C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16</w:t>
                  </w:r>
                </w:p>
              </w:tc>
              <w:tc>
                <w:tcPr>
                  <w:tcW w:w="2529" w:type="dxa"/>
                  <w:tcBorders>
                    <w:tl2br w:val="nil"/>
                    <w:tr2bl w:val="nil"/>
                  </w:tcBorders>
                  <w:noWrap w:val="0"/>
                  <w:vAlign w:val="center"/>
                </w:tcPr>
                <w:p w14:paraId="2AEE5FBB">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小松拆解机</w:t>
                  </w:r>
                </w:p>
              </w:tc>
              <w:tc>
                <w:tcPr>
                  <w:tcW w:w="2600" w:type="dxa"/>
                  <w:tcBorders>
                    <w:tl2br w:val="nil"/>
                    <w:tr2bl w:val="nil"/>
                  </w:tcBorders>
                  <w:noWrap w:val="0"/>
                  <w:vAlign w:val="center"/>
                </w:tcPr>
                <w:p w14:paraId="72D3420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PC210-8MO+TAS-215SH</w:t>
                  </w:r>
                </w:p>
              </w:tc>
              <w:tc>
                <w:tcPr>
                  <w:tcW w:w="1091" w:type="dxa"/>
                  <w:tcBorders>
                    <w:tl2br w:val="nil"/>
                    <w:tr2bl w:val="nil"/>
                  </w:tcBorders>
                  <w:noWrap w:val="0"/>
                  <w:vAlign w:val="center"/>
                </w:tcPr>
                <w:p w14:paraId="401480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17193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3671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1691F8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w:t>
                  </w:r>
                </w:p>
              </w:tc>
              <w:tc>
                <w:tcPr>
                  <w:tcW w:w="2529" w:type="dxa"/>
                  <w:tcBorders>
                    <w:tl2br w:val="nil"/>
                    <w:tr2bl w:val="nil"/>
                  </w:tcBorders>
                  <w:noWrap w:val="0"/>
                  <w:vAlign w:val="center"/>
                </w:tcPr>
                <w:p w14:paraId="69C559A6">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抓钢机</w:t>
                  </w:r>
                </w:p>
              </w:tc>
              <w:tc>
                <w:tcPr>
                  <w:tcW w:w="2600" w:type="dxa"/>
                  <w:tcBorders>
                    <w:tl2br w:val="nil"/>
                    <w:tr2bl w:val="nil"/>
                  </w:tcBorders>
                  <w:noWrap w:val="0"/>
                  <w:vAlign w:val="center"/>
                </w:tcPr>
                <w:p w14:paraId="186CF7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WZY43-8</w:t>
                  </w:r>
                </w:p>
              </w:tc>
              <w:tc>
                <w:tcPr>
                  <w:tcW w:w="1091" w:type="dxa"/>
                  <w:tcBorders>
                    <w:tl2br w:val="nil"/>
                    <w:tr2bl w:val="nil"/>
                  </w:tcBorders>
                  <w:noWrap w:val="0"/>
                  <w:vAlign w:val="center"/>
                </w:tcPr>
                <w:p w14:paraId="61A8EC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789BE5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77A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33FA74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w:t>
                  </w:r>
                </w:p>
              </w:tc>
              <w:tc>
                <w:tcPr>
                  <w:tcW w:w="2529" w:type="dxa"/>
                  <w:tcBorders>
                    <w:tl2br w:val="nil"/>
                    <w:tr2bl w:val="nil"/>
                  </w:tcBorders>
                  <w:noWrap w:val="0"/>
                  <w:vAlign w:val="center"/>
                </w:tcPr>
                <w:p w14:paraId="2302DB14">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装载机</w:t>
                  </w:r>
                </w:p>
              </w:tc>
              <w:tc>
                <w:tcPr>
                  <w:tcW w:w="2600" w:type="dxa"/>
                  <w:tcBorders>
                    <w:tl2br w:val="nil"/>
                    <w:tr2bl w:val="nil"/>
                  </w:tcBorders>
                  <w:noWrap w:val="0"/>
                  <w:vAlign w:val="center"/>
                </w:tcPr>
                <w:p w14:paraId="139B55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LW500HV</w:t>
                  </w:r>
                </w:p>
              </w:tc>
              <w:tc>
                <w:tcPr>
                  <w:tcW w:w="1091" w:type="dxa"/>
                  <w:tcBorders>
                    <w:tl2br w:val="nil"/>
                    <w:tr2bl w:val="nil"/>
                  </w:tcBorders>
                  <w:noWrap w:val="0"/>
                  <w:vAlign w:val="center"/>
                </w:tcPr>
                <w:p w14:paraId="59BE31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0D2434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629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7744D5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w:t>
                  </w:r>
                </w:p>
              </w:tc>
              <w:tc>
                <w:tcPr>
                  <w:tcW w:w="2529" w:type="dxa"/>
                  <w:tcBorders>
                    <w:tl2br w:val="nil"/>
                    <w:tr2bl w:val="nil"/>
                  </w:tcBorders>
                  <w:noWrap w:val="0"/>
                  <w:vAlign w:val="center"/>
                </w:tcPr>
                <w:p w14:paraId="5D67CBF9">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史丹利巨型剪</w:t>
                  </w:r>
                </w:p>
              </w:tc>
              <w:tc>
                <w:tcPr>
                  <w:tcW w:w="2600" w:type="dxa"/>
                  <w:tcBorders>
                    <w:tl2br w:val="nil"/>
                    <w:tr2bl w:val="nil"/>
                  </w:tcBorders>
                  <w:noWrap w:val="0"/>
                  <w:vAlign w:val="center"/>
                </w:tcPr>
                <w:p w14:paraId="31FBAA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MSD2250R</w:t>
                  </w:r>
                </w:p>
              </w:tc>
              <w:tc>
                <w:tcPr>
                  <w:tcW w:w="1091" w:type="dxa"/>
                  <w:tcBorders>
                    <w:tl2br w:val="nil"/>
                    <w:tr2bl w:val="nil"/>
                  </w:tcBorders>
                  <w:noWrap w:val="0"/>
                  <w:vAlign w:val="center"/>
                </w:tcPr>
                <w:p w14:paraId="5D52CD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487A89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288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61539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2529" w:type="dxa"/>
                  <w:tcBorders>
                    <w:tl2br w:val="nil"/>
                    <w:tr2bl w:val="nil"/>
                  </w:tcBorders>
                  <w:noWrap w:val="0"/>
                  <w:vAlign w:val="center"/>
                </w:tcPr>
                <w:p w14:paraId="3950DA52">
                  <w:pPr>
                    <w:keepNext w:val="0"/>
                    <w:keepLines w:val="0"/>
                    <w:widowControl/>
                    <w:suppressLineNumbers w:val="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挖掘机</w:t>
                  </w:r>
                </w:p>
              </w:tc>
              <w:tc>
                <w:tcPr>
                  <w:tcW w:w="2600" w:type="dxa"/>
                  <w:tcBorders>
                    <w:tl2br w:val="nil"/>
                    <w:tr2bl w:val="nil"/>
                  </w:tcBorders>
                  <w:noWrap w:val="0"/>
                  <w:vAlign w:val="center"/>
                </w:tcPr>
                <w:p w14:paraId="52E9072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PC270-8</w:t>
                  </w:r>
                </w:p>
              </w:tc>
              <w:tc>
                <w:tcPr>
                  <w:tcW w:w="1091" w:type="dxa"/>
                  <w:tcBorders>
                    <w:tl2br w:val="nil"/>
                    <w:tr2bl w:val="nil"/>
                  </w:tcBorders>
                  <w:noWrap w:val="0"/>
                  <w:vAlign w:val="center"/>
                </w:tcPr>
                <w:p w14:paraId="5242F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6DE5B5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D50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8312" w:type="dxa"/>
                  <w:gridSpan w:val="5"/>
                  <w:tcBorders>
                    <w:tl2br w:val="nil"/>
                    <w:tr2bl w:val="nil"/>
                  </w:tcBorders>
                  <w:noWrap w:val="0"/>
                  <w:vAlign w:val="center"/>
                </w:tcPr>
                <w:p w14:paraId="38F033DF">
                  <w:pPr>
                    <w:spacing w:line="28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破碎车间</w:t>
                  </w:r>
                </w:p>
              </w:tc>
            </w:tr>
            <w:tr w14:paraId="7E09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294DF8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2529" w:type="dxa"/>
                  <w:tcBorders>
                    <w:tl2br w:val="nil"/>
                    <w:tr2bl w:val="nil"/>
                  </w:tcBorders>
                  <w:noWrap w:val="0"/>
                  <w:vAlign w:val="center"/>
                </w:tcPr>
                <w:p w14:paraId="12045BB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华宏PSX-1600破碎机</w:t>
                  </w:r>
                </w:p>
              </w:tc>
              <w:tc>
                <w:tcPr>
                  <w:tcW w:w="2600" w:type="dxa"/>
                  <w:tcBorders>
                    <w:tl2br w:val="nil"/>
                    <w:tr2bl w:val="nil"/>
                  </w:tcBorders>
                  <w:noWrap w:val="0"/>
                  <w:vAlign w:val="center"/>
                </w:tcPr>
                <w:p w14:paraId="1F2F69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（2000马力）</w:t>
                  </w:r>
                </w:p>
              </w:tc>
              <w:tc>
                <w:tcPr>
                  <w:tcW w:w="1091" w:type="dxa"/>
                  <w:tcBorders>
                    <w:tl2br w:val="nil"/>
                    <w:tr2bl w:val="nil"/>
                  </w:tcBorders>
                  <w:noWrap w:val="0"/>
                  <w:vAlign w:val="center"/>
                </w:tcPr>
                <w:p w14:paraId="21337D2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1072EC0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0969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7550E8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2529" w:type="dxa"/>
                  <w:tcBorders>
                    <w:tl2br w:val="nil"/>
                    <w:tr2bl w:val="nil"/>
                  </w:tcBorders>
                  <w:noWrap w:val="0"/>
                  <w:vAlign w:val="center"/>
                </w:tcPr>
                <w:p w14:paraId="7AB618B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PSX-80104型废钢破碎</w:t>
                  </w:r>
                </w:p>
              </w:tc>
              <w:tc>
                <w:tcPr>
                  <w:tcW w:w="2600" w:type="dxa"/>
                  <w:tcBorders>
                    <w:tl2br w:val="nil"/>
                    <w:tr2bl w:val="nil"/>
                  </w:tcBorders>
                  <w:noWrap w:val="0"/>
                  <w:vAlign w:val="center"/>
                </w:tcPr>
                <w:p w14:paraId="3B9404C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（3000马力）</w:t>
                  </w:r>
                </w:p>
              </w:tc>
              <w:tc>
                <w:tcPr>
                  <w:tcW w:w="1091" w:type="dxa"/>
                  <w:tcBorders>
                    <w:tl2br w:val="nil"/>
                    <w:tr2bl w:val="nil"/>
                  </w:tcBorders>
                  <w:noWrap w:val="0"/>
                  <w:vAlign w:val="center"/>
                </w:tcPr>
                <w:p w14:paraId="6473D9A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6136E13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6595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5E5834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2529" w:type="dxa"/>
                  <w:tcBorders>
                    <w:tl2br w:val="nil"/>
                    <w:tr2bl w:val="nil"/>
                  </w:tcBorders>
                  <w:noWrap w:val="0"/>
                  <w:vAlign w:val="center"/>
                </w:tcPr>
                <w:p w14:paraId="5529425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干磨出油机</w:t>
                  </w:r>
                </w:p>
              </w:tc>
              <w:tc>
                <w:tcPr>
                  <w:tcW w:w="2600" w:type="dxa"/>
                  <w:tcBorders>
                    <w:tl2br w:val="nil"/>
                    <w:tr2bl w:val="nil"/>
                  </w:tcBorders>
                  <w:noWrap w:val="0"/>
                  <w:vAlign w:val="center"/>
                </w:tcPr>
                <w:p w14:paraId="18657C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LR-2400</w:t>
                  </w:r>
                </w:p>
              </w:tc>
              <w:tc>
                <w:tcPr>
                  <w:tcW w:w="1091" w:type="dxa"/>
                  <w:tcBorders>
                    <w:tl2br w:val="nil"/>
                    <w:tr2bl w:val="nil"/>
                  </w:tcBorders>
                  <w:noWrap w:val="0"/>
                  <w:vAlign w:val="center"/>
                </w:tcPr>
                <w:p w14:paraId="766FA75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57298C2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台</w:t>
                  </w:r>
                </w:p>
              </w:tc>
            </w:tr>
            <w:tr w14:paraId="1B17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7" w:hRule="atLeast"/>
              </w:trPr>
              <w:tc>
                <w:tcPr>
                  <w:tcW w:w="756" w:type="dxa"/>
                  <w:tcBorders>
                    <w:tl2br w:val="nil"/>
                    <w:tr2bl w:val="nil"/>
                  </w:tcBorders>
                  <w:noWrap w:val="0"/>
                  <w:vAlign w:val="center"/>
                </w:tcPr>
                <w:p w14:paraId="0BAB05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2529" w:type="dxa"/>
                  <w:tcBorders>
                    <w:tl2br w:val="nil"/>
                    <w:tr2bl w:val="nil"/>
                  </w:tcBorders>
                  <w:noWrap w:val="0"/>
                  <w:vAlign w:val="center"/>
                </w:tcPr>
                <w:p w14:paraId="20210E4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旋风除尘+布袋</w:t>
                  </w:r>
                </w:p>
              </w:tc>
              <w:tc>
                <w:tcPr>
                  <w:tcW w:w="2600" w:type="dxa"/>
                  <w:tcBorders>
                    <w:tl2br w:val="nil"/>
                    <w:tr2bl w:val="nil"/>
                  </w:tcBorders>
                  <w:noWrap w:val="0"/>
                  <w:vAlign w:val="center"/>
                </w:tcPr>
                <w:p w14:paraId="55B12E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091" w:type="dxa"/>
                  <w:tcBorders>
                    <w:tl2br w:val="nil"/>
                    <w:tr2bl w:val="nil"/>
                  </w:tcBorders>
                  <w:noWrap w:val="0"/>
                  <w:vAlign w:val="center"/>
                </w:tcPr>
                <w:p w14:paraId="5C8BD6E8">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1336" w:type="dxa"/>
                  <w:tcBorders>
                    <w:tl2br w:val="nil"/>
                    <w:tr2bl w:val="nil"/>
                  </w:tcBorders>
                  <w:noWrap w:val="0"/>
                  <w:vAlign w:val="center"/>
                </w:tcPr>
                <w:p w14:paraId="5B9DC18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套</w:t>
                  </w:r>
                </w:p>
              </w:tc>
            </w:tr>
          </w:tbl>
          <w:p w14:paraId="04D01309">
            <w:pPr>
              <w:numPr>
                <w:ilvl w:val="0"/>
                <w:numId w:val="0"/>
              </w:numPr>
              <w:spacing w:line="520" w:lineRule="exact"/>
              <w:rPr>
                <w:rFonts w:hint="eastAsia"/>
                <w:b/>
                <w:color w:val="auto"/>
                <w:kern w:val="0"/>
                <w:sz w:val="24"/>
              </w:rPr>
            </w:pPr>
            <w:r>
              <w:rPr>
                <w:rFonts w:hint="eastAsia"/>
                <w:b/>
                <w:color w:val="auto"/>
                <w:kern w:val="0"/>
                <w:sz w:val="24"/>
                <w:highlight w:val="none"/>
                <w:lang w:val="en-US" w:eastAsia="zh-CN"/>
              </w:rPr>
              <w:t>3、</w:t>
            </w:r>
            <w:r>
              <w:rPr>
                <w:b/>
                <w:color w:val="auto"/>
                <w:kern w:val="0"/>
                <w:sz w:val="24"/>
              </w:rPr>
              <w:t>主要原辅材料及能源消耗</w:t>
            </w:r>
            <w:r>
              <w:rPr>
                <w:rFonts w:hint="eastAsia"/>
                <w:b/>
                <w:color w:val="auto"/>
                <w:kern w:val="0"/>
                <w:sz w:val="24"/>
              </w:rPr>
              <w:t>情况</w:t>
            </w:r>
          </w:p>
          <w:p w14:paraId="23745297">
            <w:pPr>
              <w:pStyle w:val="36"/>
              <w:rPr>
                <w:rFonts w:hint="eastAsia"/>
                <w:color w:val="auto"/>
                <w:kern w:val="0"/>
                <w:sz w:val="24"/>
                <w:lang w:val="en-US" w:eastAsia="zh-CN"/>
              </w:rPr>
            </w:pPr>
            <w:r>
              <w:rPr>
                <w:color w:val="auto"/>
                <w:kern w:val="0"/>
                <w:sz w:val="24"/>
              </w:rPr>
              <w:t>项目</w:t>
            </w:r>
            <w:r>
              <w:rPr>
                <w:rFonts w:hint="eastAsia"/>
                <w:color w:val="auto"/>
                <w:kern w:val="0"/>
                <w:sz w:val="24"/>
                <w:lang w:val="en-US" w:eastAsia="zh-CN"/>
              </w:rPr>
              <w:t>运行时，拆解汽车主要是小型机动车，少量的农用车，本次拆解汽车不包含电动</w:t>
            </w:r>
            <w:r>
              <w:rPr>
                <w:rFonts w:hint="eastAsia"/>
                <w:color w:val="auto"/>
                <w:kern w:val="0"/>
                <w:sz w:val="24"/>
                <w:highlight w:val="none"/>
                <w:lang w:val="en-US" w:eastAsia="zh-CN"/>
              </w:rPr>
              <w:t>车。本项目汽车拆解规模为5000辆/年；</w:t>
            </w:r>
            <w:r>
              <w:rPr>
                <w:rFonts w:hint="eastAsia"/>
                <w:color w:val="auto"/>
                <w:kern w:val="0"/>
                <w:sz w:val="24"/>
                <w:lang w:val="en-US" w:eastAsia="zh-CN"/>
              </w:rPr>
              <w:t>具体原辅料消耗见表2-3。</w:t>
            </w:r>
          </w:p>
          <w:p w14:paraId="250289A3">
            <w:pPr>
              <w:spacing w:line="440" w:lineRule="exact"/>
              <w:jc w:val="both"/>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w:t>
            </w:r>
            <w:r>
              <w:rPr>
                <w:rFonts w:hint="eastAsia" w:cs="Times New Roman"/>
                <w:b/>
                <w:bCs/>
                <w:color w:val="auto"/>
                <w:sz w:val="24"/>
                <w:szCs w:val="22"/>
                <w:highlight w:val="none"/>
                <w:lang w:val="en-US" w:eastAsia="zh-CN"/>
              </w:rPr>
              <w:t>2-</w:t>
            </w:r>
            <w:r>
              <w:rPr>
                <w:rFonts w:hint="default" w:ascii="Times New Roman" w:hAnsi="Times New Roman" w:eastAsia="宋体" w:cs="Times New Roman"/>
                <w:b/>
                <w:bCs/>
                <w:color w:val="auto"/>
                <w:sz w:val="24"/>
                <w:szCs w:val="22"/>
                <w:highlight w:val="none"/>
                <w:lang w:val="en-US" w:eastAsia="zh-CN"/>
              </w:rPr>
              <w:t xml:space="preserve">3           </w:t>
            </w:r>
            <w:r>
              <w:rPr>
                <w:rFonts w:hint="eastAsia"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 xml:space="preserve"> </w:t>
            </w:r>
            <w:r>
              <w:rPr>
                <w:rFonts w:hint="eastAsia"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 xml:space="preserve">  主要原辅材料消耗一览表</w:t>
            </w:r>
          </w:p>
          <w:tbl>
            <w:tblPr>
              <w:tblStyle w:val="29"/>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363"/>
              <w:gridCol w:w="1987"/>
              <w:gridCol w:w="2505"/>
              <w:gridCol w:w="1661"/>
            </w:tblGrid>
            <w:tr w14:paraId="087A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dxa"/>
                  <w:vAlign w:val="center"/>
                </w:tcPr>
                <w:p w14:paraId="76CCF93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1363" w:type="dxa"/>
                  <w:vAlign w:val="center"/>
                </w:tcPr>
                <w:p w14:paraId="068A88C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名称</w:t>
                  </w:r>
                </w:p>
              </w:tc>
              <w:tc>
                <w:tcPr>
                  <w:tcW w:w="1987" w:type="dxa"/>
                  <w:vAlign w:val="center"/>
                </w:tcPr>
                <w:p w14:paraId="4D3F5D6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规格</w:t>
                  </w:r>
                </w:p>
              </w:tc>
              <w:tc>
                <w:tcPr>
                  <w:tcW w:w="2505" w:type="dxa"/>
                  <w:vAlign w:val="center"/>
                </w:tcPr>
                <w:p w14:paraId="478E87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消耗量</w:t>
                  </w:r>
                </w:p>
              </w:tc>
              <w:tc>
                <w:tcPr>
                  <w:tcW w:w="1661" w:type="dxa"/>
                  <w:vAlign w:val="center"/>
                </w:tcPr>
                <w:p w14:paraId="671D810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来源</w:t>
                  </w:r>
                </w:p>
              </w:tc>
            </w:tr>
            <w:tr w14:paraId="79AA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dxa"/>
                  <w:vAlign w:val="center"/>
                </w:tcPr>
                <w:p w14:paraId="44A468B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363" w:type="dxa"/>
                  <w:vMerge w:val="restart"/>
                  <w:vAlign w:val="center"/>
                </w:tcPr>
                <w:p w14:paraId="5AC7A41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报废车辆</w:t>
                  </w:r>
                </w:p>
              </w:tc>
              <w:tc>
                <w:tcPr>
                  <w:tcW w:w="1987" w:type="dxa"/>
                  <w:vAlign w:val="center"/>
                </w:tcPr>
                <w:p w14:paraId="760931C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小型机动车</w:t>
                  </w:r>
                </w:p>
              </w:tc>
              <w:tc>
                <w:tcPr>
                  <w:tcW w:w="2505" w:type="dxa"/>
                  <w:vAlign w:val="center"/>
                </w:tcPr>
                <w:p w14:paraId="39F2180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4950辆/年</w:t>
                  </w:r>
                </w:p>
              </w:tc>
              <w:tc>
                <w:tcPr>
                  <w:tcW w:w="1661" w:type="dxa"/>
                  <w:vMerge w:val="restart"/>
                  <w:vAlign w:val="center"/>
                </w:tcPr>
                <w:p w14:paraId="1F55176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全疆各地</w:t>
                  </w:r>
                </w:p>
              </w:tc>
            </w:tr>
            <w:tr w14:paraId="7D76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dxa"/>
                  <w:vAlign w:val="center"/>
                </w:tcPr>
                <w:p w14:paraId="405580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363" w:type="dxa"/>
                  <w:vMerge w:val="continue"/>
                  <w:vAlign w:val="center"/>
                </w:tcPr>
                <w:p w14:paraId="2B36FF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1987" w:type="dxa"/>
                  <w:vAlign w:val="center"/>
                </w:tcPr>
                <w:p w14:paraId="6BD9FB7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农用车</w:t>
                  </w:r>
                </w:p>
              </w:tc>
              <w:tc>
                <w:tcPr>
                  <w:tcW w:w="2505" w:type="dxa"/>
                  <w:vAlign w:val="center"/>
                </w:tcPr>
                <w:p w14:paraId="14DBE0E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50辆/年</w:t>
                  </w:r>
                </w:p>
              </w:tc>
              <w:tc>
                <w:tcPr>
                  <w:tcW w:w="1661" w:type="dxa"/>
                  <w:vMerge w:val="continue"/>
                  <w:vAlign w:val="center"/>
                </w:tcPr>
                <w:p w14:paraId="640A97E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r>
            <w:tr w14:paraId="25DC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7" w:type="dxa"/>
                  <w:vAlign w:val="center"/>
                </w:tcPr>
                <w:p w14:paraId="27B7A4B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1363" w:type="dxa"/>
                  <w:vAlign w:val="center"/>
                </w:tcPr>
                <w:p w14:paraId="2F5CEB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w:t>
                  </w:r>
                </w:p>
              </w:tc>
              <w:tc>
                <w:tcPr>
                  <w:tcW w:w="1987" w:type="dxa"/>
                  <w:vAlign w:val="center"/>
                </w:tcPr>
                <w:p w14:paraId="14BB61A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/a</w:t>
                  </w:r>
                </w:p>
              </w:tc>
              <w:tc>
                <w:tcPr>
                  <w:tcW w:w="2505" w:type="dxa"/>
                  <w:vAlign w:val="center"/>
                </w:tcPr>
                <w:p w14:paraId="367505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313.74</w:t>
                  </w:r>
                </w:p>
              </w:tc>
              <w:tc>
                <w:tcPr>
                  <w:tcW w:w="1661" w:type="dxa"/>
                  <w:vAlign w:val="center"/>
                </w:tcPr>
                <w:p w14:paraId="671AFBA7">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p>
              </w:tc>
            </w:tr>
          </w:tbl>
          <w:p w14:paraId="0CB6A71F">
            <w:pPr>
              <w:autoSpaceDE w:val="0"/>
              <w:autoSpaceDN w:val="0"/>
              <w:adjustRightInd w:val="0"/>
              <w:spacing w:line="360" w:lineRule="auto"/>
              <w:rPr>
                <w:b/>
                <w:bCs/>
                <w:color w:val="auto"/>
                <w:sz w:val="24"/>
              </w:rPr>
            </w:pPr>
            <w:r>
              <w:rPr>
                <w:rFonts w:hint="eastAsia"/>
                <w:b/>
                <w:bCs/>
                <w:color w:val="auto"/>
                <w:sz w:val="24"/>
                <w:highlight w:val="none"/>
                <w:lang w:val="en-US" w:eastAsia="zh-CN"/>
              </w:rPr>
              <w:t>4</w:t>
            </w:r>
            <w:r>
              <w:rPr>
                <w:rFonts w:hint="eastAsia"/>
                <w:b/>
                <w:bCs/>
                <w:color w:val="auto"/>
                <w:sz w:val="24"/>
                <w:highlight w:val="none"/>
                <w:lang w:eastAsia="zh-CN"/>
              </w:rPr>
              <w:t>、</w:t>
            </w:r>
            <w:r>
              <w:rPr>
                <w:rFonts w:hint="eastAsia"/>
                <w:b/>
                <w:bCs/>
                <w:color w:val="auto"/>
                <w:sz w:val="24"/>
                <w:highlight w:val="none"/>
                <w:lang w:val="en-US" w:eastAsia="zh-CN"/>
              </w:rPr>
              <w:t>拆解回收规模和</w:t>
            </w:r>
            <w:r>
              <w:rPr>
                <w:b/>
                <w:bCs/>
                <w:color w:val="auto"/>
                <w:sz w:val="24"/>
              </w:rPr>
              <w:t>物料平衡</w:t>
            </w:r>
          </w:p>
          <w:p w14:paraId="108FFB39">
            <w:pPr>
              <w:spacing w:line="360" w:lineRule="auto"/>
              <w:ind w:firstLine="476" w:firstLineChars="200"/>
              <w:rPr>
                <w:rFonts w:hint="default" w:ascii="Times New Roman" w:hAnsi="Times New Roman" w:eastAsia="宋体" w:cs="Times New Roman"/>
                <w:bCs/>
                <w:color w:val="000000"/>
                <w:sz w:val="24"/>
                <w:szCs w:val="24"/>
                <w:lang w:eastAsia="zh-CN"/>
              </w:rPr>
            </w:pPr>
            <w:r>
              <w:rPr>
                <w:rFonts w:hint="default" w:ascii="Times New Roman" w:hAnsi="Times New Roman" w:eastAsia="宋体" w:cs="Times New Roman"/>
                <w:bCs/>
                <w:color w:val="000000"/>
                <w:spacing w:val="-1"/>
                <w:kern w:val="0"/>
                <w:sz w:val="24"/>
              </w:rPr>
              <w:t>本</w:t>
            </w:r>
            <w:r>
              <w:rPr>
                <w:rFonts w:hint="default" w:ascii="Times New Roman" w:hAnsi="Times New Roman" w:eastAsia="宋体" w:cs="Times New Roman"/>
                <w:color w:val="000000"/>
                <w:spacing w:val="-1"/>
                <w:kern w:val="0"/>
                <w:sz w:val="24"/>
              </w:rPr>
              <w:t>项目</w:t>
            </w:r>
            <w:r>
              <w:rPr>
                <w:rFonts w:hint="default" w:ascii="Times New Roman" w:hAnsi="Times New Roman" w:eastAsia="宋体" w:cs="Times New Roman"/>
                <w:color w:val="000000"/>
                <w:sz w:val="24"/>
              </w:rPr>
              <w:t>主要从事汽车</w:t>
            </w:r>
            <w:r>
              <w:rPr>
                <w:rFonts w:hint="default" w:ascii="Times New Roman" w:hAnsi="Times New Roman" w:eastAsia="宋体" w:cs="Times New Roman"/>
                <w:color w:val="000000"/>
                <w:sz w:val="24"/>
                <w:lang w:val="en-US" w:eastAsia="zh-CN"/>
              </w:rPr>
              <w:t>拆解</w:t>
            </w:r>
            <w:r>
              <w:rPr>
                <w:rFonts w:hint="default" w:ascii="Times New Roman" w:hAnsi="Times New Roman" w:eastAsia="宋体" w:cs="Times New Roman"/>
                <w:color w:val="000000"/>
                <w:sz w:val="24"/>
              </w:rPr>
              <w:t>的生产活动，</w:t>
            </w:r>
            <w:r>
              <w:rPr>
                <w:rFonts w:hint="default" w:ascii="Times New Roman" w:hAnsi="Times New Roman" w:eastAsia="宋体" w:cs="Times New Roman"/>
                <w:bCs/>
                <w:color w:val="000000"/>
                <w:sz w:val="24"/>
                <w:szCs w:val="24"/>
              </w:rPr>
              <w:t>拆解的报废机动车来源于在</w:t>
            </w:r>
            <w:r>
              <w:rPr>
                <w:rFonts w:hint="eastAsia" w:cs="Times New Roman"/>
                <w:bCs/>
                <w:color w:val="000000"/>
                <w:sz w:val="24"/>
                <w:szCs w:val="24"/>
                <w:lang w:val="en-US" w:eastAsia="zh-CN"/>
              </w:rPr>
              <w:t>伊宁市</w:t>
            </w:r>
            <w:r>
              <w:rPr>
                <w:rFonts w:hint="default" w:ascii="Times New Roman" w:hAnsi="Times New Roman" w:eastAsia="宋体" w:cs="Times New Roman"/>
                <w:bCs/>
                <w:color w:val="000000"/>
                <w:sz w:val="24"/>
                <w:szCs w:val="24"/>
              </w:rPr>
              <w:t>及邻近地区内回收的报废机动车</w:t>
            </w:r>
            <w:r>
              <w:rPr>
                <w:rFonts w:hint="default" w:ascii="Times New Roman" w:hAnsi="Times New Roman" w:eastAsia="宋体" w:cs="Times New Roman"/>
                <w:bCs/>
                <w:color w:val="000000"/>
                <w:sz w:val="24"/>
                <w:szCs w:val="24"/>
                <w:lang w:eastAsia="zh-CN"/>
              </w:rPr>
              <w:t>。</w:t>
            </w:r>
          </w:p>
          <w:p w14:paraId="3A09BBAE">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根据《机动车强制报废标准规定》（商务部、发改委、公安部、环境保护部令2012年第12号）要求：根据机动车使用和安全技术、排放检验状况，国家对达到报废标准的机动车实施强制报废。其中强制报废的情形包括：①达到规定使用年限的；②经修理和调整仍不符合机动车安全技术国家标准对在用车有关要求的；③经修理和调整或者采用控制技术后，向大气排放污染物或者噪声仍不符合国家标准对在用车有关要求的；④在检验有效期届满后连续3个机动车检验周期内未取得机动车检验合格标志的。另外，国家对达到一定行驶里程的机动车引导报废。</w:t>
            </w:r>
          </w:p>
          <w:p w14:paraId="7C63CA67">
            <w:pPr>
              <w:spacing w:line="360" w:lineRule="auto"/>
              <w:ind w:firstLine="480" w:firstLineChars="200"/>
              <w:rPr>
                <w:rFonts w:hint="eastAsia" w:ascii="Times New Roman" w:hAnsi="Times New Roman" w:eastAsia="宋体" w:cs="Times New Roman"/>
                <w:bCs/>
                <w:color w:val="000000"/>
                <w:sz w:val="24"/>
                <w:szCs w:val="24"/>
                <w:lang w:eastAsia="zh-CN"/>
              </w:rPr>
            </w:pPr>
            <w:r>
              <w:rPr>
                <w:rFonts w:hint="eastAsia" w:ascii="Times New Roman" w:hAnsi="Times New Roman" w:eastAsia="宋体" w:cs="Times New Roman"/>
                <w:bCs/>
                <w:color w:val="000000"/>
                <w:sz w:val="24"/>
                <w:szCs w:val="24"/>
                <w:lang w:val="en-US" w:eastAsia="zh-CN"/>
              </w:rPr>
              <w:t>根据《</w:t>
            </w:r>
            <w:r>
              <w:rPr>
                <w:rFonts w:hint="eastAsia" w:cs="Times New Roman"/>
                <w:bCs/>
                <w:color w:val="000000"/>
                <w:sz w:val="24"/>
                <w:szCs w:val="24"/>
                <w:lang w:val="en-US" w:eastAsia="zh-CN"/>
              </w:rPr>
              <w:t>伊宁市2024年国民经济与社会发展统计公报</w:t>
            </w:r>
            <w:r>
              <w:rPr>
                <w:rFonts w:hint="eastAsia" w:ascii="Times New Roman" w:hAnsi="Times New Roman" w:eastAsia="宋体" w:cs="Times New Roman"/>
                <w:bCs/>
                <w:color w:val="000000"/>
                <w:sz w:val="24"/>
                <w:szCs w:val="24"/>
                <w:lang w:val="en-US" w:eastAsia="zh-CN"/>
              </w:rPr>
              <w:t>》可知，</w:t>
            </w:r>
            <w:r>
              <w:rPr>
                <w:rFonts w:hint="eastAsia" w:cs="Times New Roman"/>
                <w:bCs/>
                <w:color w:val="000000"/>
                <w:sz w:val="24"/>
                <w:szCs w:val="24"/>
                <w:lang w:val="en-US" w:eastAsia="zh-CN"/>
              </w:rPr>
              <w:t>伊宁</w:t>
            </w:r>
            <w:r>
              <w:rPr>
                <w:rFonts w:hint="default" w:ascii="Times New Roman" w:hAnsi="Times New Roman" w:eastAsia="宋体" w:cs="Times New Roman"/>
                <w:bCs/>
                <w:color w:val="000000"/>
                <w:sz w:val="24"/>
                <w:szCs w:val="24"/>
              </w:rPr>
              <w:t>市</w:t>
            </w:r>
            <w:r>
              <w:rPr>
                <w:rFonts w:hint="eastAsia" w:ascii="Times New Roman" w:hAnsi="Times New Roman" w:eastAsia="宋体" w:cs="Times New Roman"/>
                <w:bCs/>
                <w:color w:val="000000"/>
                <w:sz w:val="24"/>
                <w:szCs w:val="24"/>
                <w:lang w:val="en-US" w:eastAsia="zh-CN"/>
              </w:rPr>
              <w:t>202</w:t>
            </w:r>
            <w:r>
              <w:rPr>
                <w:rFonts w:hint="eastAsia" w:cs="Times New Roman"/>
                <w:bCs/>
                <w:color w:val="000000"/>
                <w:sz w:val="24"/>
                <w:szCs w:val="24"/>
                <w:lang w:val="en-US" w:eastAsia="zh-CN"/>
              </w:rPr>
              <w:t>4</w:t>
            </w:r>
            <w:r>
              <w:rPr>
                <w:rFonts w:hint="eastAsia" w:ascii="Times New Roman" w:hAnsi="Times New Roman" w:eastAsia="宋体" w:cs="Times New Roman"/>
                <w:bCs/>
                <w:color w:val="000000"/>
                <w:sz w:val="24"/>
                <w:szCs w:val="24"/>
                <w:lang w:val="en-US" w:eastAsia="zh-CN"/>
              </w:rPr>
              <w:t>年</w:t>
            </w:r>
            <w:r>
              <w:rPr>
                <w:rFonts w:hint="default" w:ascii="Times New Roman" w:hAnsi="Times New Roman" w:eastAsia="宋体" w:cs="Times New Roman"/>
                <w:bCs/>
                <w:color w:val="000000"/>
                <w:sz w:val="24"/>
                <w:szCs w:val="24"/>
              </w:rPr>
              <w:t>汽车保有量</w:t>
            </w:r>
            <w:r>
              <w:rPr>
                <w:rFonts w:hint="eastAsia" w:cs="Times New Roman"/>
                <w:bCs/>
                <w:color w:val="000000"/>
                <w:sz w:val="24"/>
                <w:szCs w:val="24"/>
                <w:lang w:val="en-US" w:eastAsia="zh-CN"/>
              </w:rPr>
              <w:t>18.98</w:t>
            </w:r>
            <w:r>
              <w:rPr>
                <w:rFonts w:hint="default" w:ascii="Times New Roman" w:hAnsi="Times New Roman" w:eastAsia="宋体" w:cs="Times New Roman"/>
                <w:bCs/>
                <w:color w:val="000000"/>
                <w:sz w:val="24"/>
                <w:szCs w:val="24"/>
              </w:rPr>
              <w:t>万辆</w:t>
            </w:r>
            <w:r>
              <w:rPr>
                <w:rFonts w:hint="default" w:ascii="Times New Roman" w:hAnsi="Times New Roman" w:eastAsia="宋体" w:cs="Times New Roman"/>
                <w:bCs/>
                <w:color w:val="000000"/>
                <w:sz w:val="24"/>
                <w:szCs w:val="24"/>
                <w:lang w:eastAsia="zh-CN"/>
              </w:rPr>
              <w:t>，按照</w:t>
            </w:r>
            <w:r>
              <w:rPr>
                <w:rFonts w:hint="default" w:ascii="Times New Roman" w:hAnsi="Times New Roman" w:eastAsia="宋体" w:cs="Times New Roman"/>
                <w:color w:val="000000"/>
                <w:kern w:val="0"/>
                <w:sz w:val="24"/>
                <w:lang w:val="en-US" w:eastAsia="zh-CN"/>
              </w:rPr>
              <w:t>《报废机动车回收拆解企业技术规范》（GB 22128-2019）</w:t>
            </w:r>
            <w:r>
              <w:rPr>
                <w:rFonts w:hint="default" w:ascii="Times New Roman" w:hAnsi="Times New Roman" w:eastAsia="宋体" w:cs="Times New Roman"/>
                <w:bCs/>
                <w:color w:val="000000"/>
                <w:sz w:val="24"/>
                <w:szCs w:val="24"/>
                <w:lang w:eastAsia="zh-CN"/>
              </w:rPr>
              <w:t>，地区年总拆解产能按当地机动车保有量的4%</w:t>
            </w:r>
            <w:r>
              <w:rPr>
                <w:rFonts w:hint="eastAsia" w:ascii="Times New Roman" w:hAnsi="Times New Roman" w:eastAsia="宋体" w:cs="Times New Roman"/>
                <w:bCs/>
                <w:color w:val="000000"/>
                <w:sz w:val="24"/>
                <w:szCs w:val="24"/>
                <w:lang w:val="en-US" w:eastAsia="zh-CN"/>
              </w:rPr>
              <w:t>~5%</w:t>
            </w:r>
            <w:r>
              <w:rPr>
                <w:rFonts w:hint="default" w:ascii="Times New Roman" w:hAnsi="Times New Roman" w:eastAsia="宋体" w:cs="Times New Roman"/>
                <w:bCs/>
                <w:color w:val="000000"/>
                <w:sz w:val="24"/>
                <w:szCs w:val="24"/>
                <w:lang w:eastAsia="zh-CN"/>
              </w:rPr>
              <w:t>左右理论计算，</w:t>
            </w:r>
            <w:r>
              <w:rPr>
                <w:rFonts w:hint="eastAsia" w:ascii="Times New Roman" w:hAnsi="Times New Roman" w:eastAsia="宋体" w:cs="Times New Roman"/>
                <w:bCs/>
                <w:color w:val="000000"/>
                <w:sz w:val="24"/>
                <w:szCs w:val="24"/>
                <w:lang w:val="en-US" w:eastAsia="zh-CN"/>
              </w:rPr>
              <w:t>计算可得</w:t>
            </w:r>
            <w:r>
              <w:rPr>
                <w:rFonts w:hint="eastAsia" w:cs="Times New Roman"/>
                <w:bCs/>
                <w:color w:val="000000"/>
                <w:sz w:val="24"/>
                <w:szCs w:val="24"/>
                <w:lang w:val="en-US" w:eastAsia="zh-CN"/>
              </w:rPr>
              <w:t>伊宁</w:t>
            </w:r>
            <w:r>
              <w:rPr>
                <w:rFonts w:hint="eastAsia" w:ascii="Times New Roman" w:hAnsi="Times New Roman" w:eastAsia="宋体" w:cs="Times New Roman"/>
                <w:bCs/>
                <w:color w:val="000000"/>
                <w:sz w:val="24"/>
                <w:szCs w:val="24"/>
                <w:lang w:val="en-US" w:eastAsia="zh-CN"/>
              </w:rPr>
              <w:t>市</w:t>
            </w:r>
            <w:r>
              <w:rPr>
                <w:rFonts w:hint="default" w:ascii="Times New Roman" w:hAnsi="Times New Roman" w:eastAsia="宋体" w:cs="Times New Roman"/>
                <w:bCs/>
                <w:color w:val="000000"/>
                <w:sz w:val="24"/>
                <w:szCs w:val="24"/>
                <w:lang w:eastAsia="zh-CN"/>
              </w:rPr>
              <w:t>年总拆解产能</w:t>
            </w:r>
            <w:r>
              <w:rPr>
                <w:rFonts w:hint="eastAsia" w:ascii="Times New Roman" w:hAnsi="Times New Roman" w:eastAsia="宋体" w:cs="Times New Roman"/>
                <w:bCs/>
                <w:color w:val="000000"/>
                <w:sz w:val="24"/>
                <w:szCs w:val="24"/>
                <w:lang w:val="en-US" w:eastAsia="zh-CN"/>
              </w:rPr>
              <w:t>约为</w:t>
            </w:r>
            <w:r>
              <w:rPr>
                <w:rFonts w:hint="eastAsia" w:cs="Times New Roman"/>
                <w:bCs/>
                <w:color w:val="000000"/>
                <w:sz w:val="24"/>
                <w:szCs w:val="24"/>
                <w:lang w:val="en-US" w:eastAsia="zh-CN"/>
              </w:rPr>
              <w:t>0.76</w:t>
            </w:r>
            <w:r>
              <w:rPr>
                <w:rFonts w:hint="eastAsia" w:ascii="Times New Roman" w:hAnsi="Times New Roman" w:eastAsia="宋体" w:cs="Times New Roman"/>
                <w:bCs/>
                <w:color w:val="000000"/>
                <w:sz w:val="24"/>
                <w:szCs w:val="24"/>
                <w:lang w:val="en-US" w:eastAsia="zh-CN"/>
              </w:rPr>
              <w:t>万辆~</w:t>
            </w:r>
            <w:r>
              <w:rPr>
                <w:rFonts w:hint="eastAsia" w:cs="Times New Roman"/>
                <w:bCs/>
                <w:color w:val="000000"/>
                <w:sz w:val="24"/>
                <w:szCs w:val="24"/>
                <w:lang w:val="en-US" w:eastAsia="zh-CN"/>
              </w:rPr>
              <w:t>0.95</w:t>
            </w:r>
            <w:r>
              <w:rPr>
                <w:rFonts w:hint="eastAsia" w:ascii="Times New Roman" w:hAnsi="Times New Roman" w:eastAsia="宋体" w:cs="Times New Roman"/>
                <w:bCs/>
                <w:color w:val="000000"/>
                <w:sz w:val="24"/>
                <w:szCs w:val="24"/>
                <w:lang w:val="en-US" w:eastAsia="zh-CN"/>
              </w:rPr>
              <w:t>万辆，</w:t>
            </w:r>
            <w:r>
              <w:rPr>
                <w:rFonts w:hint="default" w:ascii="Times New Roman" w:hAnsi="Times New Roman" w:eastAsia="宋体" w:cs="Times New Roman"/>
                <w:bCs/>
                <w:color w:val="000000"/>
                <w:sz w:val="24"/>
                <w:szCs w:val="24"/>
              </w:rPr>
              <w:t>项目生产规模为年拆解报废汽车</w:t>
            </w:r>
            <w:r>
              <w:rPr>
                <w:rFonts w:hint="default" w:ascii="Times New Roman" w:hAnsi="Times New Roman" w:eastAsia="宋体" w:cs="Times New Roman"/>
                <w:bCs/>
                <w:color w:val="000000"/>
                <w:sz w:val="24"/>
                <w:szCs w:val="24"/>
                <w:lang w:val="en-US" w:eastAsia="zh-CN"/>
              </w:rPr>
              <w:t>5000</w:t>
            </w:r>
            <w:r>
              <w:rPr>
                <w:rFonts w:hint="default" w:ascii="Times New Roman" w:hAnsi="Times New Roman" w:eastAsia="宋体" w:cs="Times New Roman"/>
                <w:bCs/>
                <w:color w:val="000000"/>
                <w:sz w:val="24"/>
                <w:szCs w:val="24"/>
              </w:rPr>
              <w:t>辆</w:t>
            </w:r>
            <w:r>
              <w:rPr>
                <w:rFonts w:hint="eastAsia" w:cs="Times New Roman"/>
                <w:bCs/>
                <w:color w:val="000000"/>
                <w:sz w:val="24"/>
                <w:szCs w:val="24"/>
                <w:lang w:eastAsia="zh-CN"/>
              </w:rPr>
              <w:t>。</w:t>
            </w:r>
          </w:p>
          <w:p w14:paraId="74F99813">
            <w:pPr>
              <w:spacing w:line="360" w:lineRule="auto"/>
              <w:ind w:firstLine="480" w:firstLineChars="200"/>
              <w:jc w:val="left"/>
              <w:rPr>
                <w:bCs/>
                <w:color w:val="auto"/>
                <w:sz w:val="24"/>
              </w:rPr>
            </w:pPr>
            <w:r>
              <w:rPr>
                <w:rFonts w:hint="eastAsia"/>
                <w:bCs/>
                <w:color w:val="auto"/>
                <w:sz w:val="24"/>
                <w:lang w:val="en-US" w:eastAsia="zh-CN"/>
              </w:rPr>
              <w:t>根据《汽车报废拆解与材料回收利用》及《汽车产品回收利用技术政策》中相关资料的类比分析，并根据各类型汽车整备质量情况的类比分析进行校核，各类型机动车的物品组成比例见表2-5，结合本项目拆解工况，每辆小车以1.6t计算，每辆大车以5.62t计算</w:t>
            </w:r>
            <w:r>
              <w:rPr>
                <w:rFonts w:hint="eastAsia"/>
                <w:bCs/>
                <w:color w:val="auto"/>
                <w:sz w:val="24"/>
              </w:rPr>
              <w:t>。</w:t>
            </w:r>
          </w:p>
          <w:p w14:paraId="4BAA9EA5">
            <w:pPr>
              <w:pStyle w:val="67"/>
              <w:tabs>
                <w:tab w:val="left" w:pos="889"/>
              </w:tabs>
              <w:jc w:val="center"/>
              <w:rPr>
                <w:rFonts w:ascii="Times New Roman" w:hAnsi="Times New Roman" w:cs="Times New Roman"/>
                <w:b/>
                <w:bCs/>
                <w:color w:val="auto"/>
                <w:sz w:val="24"/>
              </w:rPr>
            </w:pPr>
            <w:r>
              <w:rPr>
                <w:rFonts w:ascii="Times New Roman" w:hAnsi="Times New Roman" w:cs="Times New Roman"/>
                <w:b/>
                <w:bCs/>
                <w:color w:val="auto"/>
                <w:sz w:val="24"/>
              </w:rPr>
              <w:t>表</w:t>
            </w:r>
            <w:r>
              <w:rPr>
                <w:rFonts w:hint="eastAsia" w:ascii="Times New Roman" w:hAnsi="Times New Roman" w:cs="Times New Roman"/>
                <w:b/>
                <w:bCs/>
                <w:color w:val="auto"/>
                <w:sz w:val="24"/>
                <w:lang w:val="en-US"/>
              </w:rPr>
              <w:t>2</w:t>
            </w:r>
            <w:r>
              <w:rPr>
                <w:rFonts w:ascii="Times New Roman" w:hAnsi="Times New Roman" w:cs="Times New Roman"/>
                <w:b/>
                <w:bCs/>
                <w:color w:val="auto"/>
                <w:sz w:val="24"/>
              </w:rPr>
              <w:t>-</w:t>
            </w:r>
            <w:r>
              <w:rPr>
                <w:rFonts w:hint="eastAsia" w:ascii="Times New Roman" w:hAnsi="Times New Roman" w:cs="Times New Roman"/>
                <w:b/>
                <w:bCs/>
                <w:color w:val="auto"/>
                <w:sz w:val="24"/>
                <w:lang w:val="en-US" w:eastAsia="zh-CN"/>
              </w:rPr>
              <w:t>5</w:t>
            </w:r>
            <w:r>
              <w:rPr>
                <w:rFonts w:ascii="Times New Roman" w:hAnsi="Times New Roman" w:cs="Times New Roman"/>
                <w:b/>
                <w:bCs/>
                <w:color w:val="auto"/>
                <w:sz w:val="24"/>
              </w:rPr>
              <w:t xml:space="preserve">    项目物料平衡表</w:t>
            </w:r>
          </w:p>
          <w:tbl>
            <w:tblPr>
              <w:tblStyle w:val="29"/>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263"/>
              <w:gridCol w:w="1962"/>
              <w:gridCol w:w="1085"/>
              <w:gridCol w:w="1085"/>
              <w:gridCol w:w="1085"/>
              <w:gridCol w:w="1086"/>
            </w:tblGrid>
            <w:tr w14:paraId="364F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vAlign w:val="center"/>
                </w:tcPr>
                <w:p w14:paraId="24D65D35">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序号</w:t>
                  </w:r>
                </w:p>
              </w:tc>
              <w:tc>
                <w:tcPr>
                  <w:tcW w:w="3225" w:type="dxa"/>
                  <w:gridSpan w:val="2"/>
                  <w:vMerge w:val="restart"/>
                  <w:vAlign w:val="center"/>
                </w:tcPr>
                <w:p w14:paraId="1F620A08">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类别</w:t>
                  </w:r>
                </w:p>
              </w:tc>
              <w:tc>
                <w:tcPr>
                  <w:tcW w:w="2170" w:type="dxa"/>
                  <w:gridSpan w:val="2"/>
                  <w:vAlign w:val="center"/>
                </w:tcPr>
                <w:p w14:paraId="502B9C7C">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小型汽车</w:t>
                  </w:r>
                </w:p>
              </w:tc>
              <w:tc>
                <w:tcPr>
                  <w:tcW w:w="2171" w:type="dxa"/>
                  <w:gridSpan w:val="2"/>
                  <w:vAlign w:val="center"/>
                </w:tcPr>
                <w:p w14:paraId="0E1C6944">
                  <w:pPr>
                    <w:jc w:val="center"/>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农用车</w:t>
                  </w:r>
                </w:p>
              </w:tc>
            </w:tr>
            <w:tr w14:paraId="6319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continue"/>
                  <w:vAlign w:val="center"/>
                </w:tcPr>
                <w:p w14:paraId="181908FC">
                  <w:pPr>
                    <w:jc w:val="center"/>
                    <w:rPr>
                      <w:rFonts w:ascii="Times New Roman" w:hAnsi="Times New Roman" w:eastAsia="宋体" w:cs="Times New Roman"/>
                      <w:bCs/>
                      <w:color w:val="auto"/>
                      <w:szCs w:val="21"/>
                    </w:rPr>
                  </w:pPr>
                </w:p>
              </w:tc>
              <w:tc>
                <w:tcPr>
                  <w:tcW w:w="3225" w:type="dxa"/>
                  <w:gridSpan w:val="2"/>
                  <w:vMerge w:val="continue"/>
                  <w:vAlign w:val="center"/>
                </w:tcPr>
                <w:p w14:paraId="78CCB0C4">
                  <w:pPr>
                    <w:jc w:val="center"/>
                    <w:rPr>
                      <w:rFonts w:ascii="Times New Roman" w:hAnsi="Times New Roman" w:eastAsia="宋体" w:cs="Times New Roman"/>
                      <w:bCs/>
                      <w:color w:val="auto"/>
                      <w:szCs w:val="21"/>
                    </w:rPr>
                  </w:pPr>
                </w:p>
              </w:tc>
              <w:tc>
                <w:tcPr>
                  <w:tcW w:w="1085" w:type="dxa"/>
                  <w:vAlign w:val="center"/>
                </w:tcPr>
                <w:p w14:paraId="147C32DB">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单辆</w:t>
                  </w:r>
                </w:p>
              </w:tc>
              <w:tc>
                <w:tcPr>
                  <w:tcW w:w="1085" w:type="dxa"/>
                  <w:vAlign w:val="center"/>
                </w:tcPr>
                <w:p w14:paraId="0A3B49F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4950辆</w:t>
                  </w:r>
                </w:p>
              </w:tc>
              <w:tc>
                <w:tcPr>
                  <w:tcW w:w="1085" w:type="dxa"/>
                  <w:vAlign w:val="center"/>
                </w:tcPr>
                <w:p w14:paraId="3464E6F3">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单辆</w:t>
                  </w:r>
                </w:p>
              </w:tc>
              <w:tc>
                <w:tcPr>
                  <w:tcW w:w="1086" w:type="dxa"/>
                  <w:vAlign w:val="center"/>
                </w:tcPr>
                <w:p w14:paraId="49E8389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50辆</w:t>
                  </w:r>
                </w:p>
              </w:tc>
            </w:tr>
            <w:tr w14:paraId="2D51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continue"/>
                  <w:vAlign w:val="center"/>
                </w:tcPr>
                <w:p w14:paraId="61456FAD">
                  <w:pPr>
                    <w:jc w:val="center"/>
                    <w:rPr>
                      <w:rFonts w:ascii="Times New Roman" w:hAnsi="Times New Roman" w:eastAsia="宋体" w:cs="Times New Roman"/>
                      <w:bCs/>
                      <w:color w:val="auto"/>
                      <w:szCs w:val="21"/>
                    </w:rPr>
                  </w:pPr>
                </w:p>
              </w:tc>
              <w:tc>
                <w:tcPr>
                  <w:tcW w:w="3225" w:type="dxa"/>
                  <w:gridSpan w:val="2"/>
                  <w:vMerge w:val="continue"/>
                  <w:vAlign w:val="center"/>
                </w:tcPr>
                <w:p w14:paraId="04FB80E6">
                  <w:pPr>
                    <w:jc w:val="center"/>
                    <w:rPr>
                      <w:rFonts w:ascii="Times New Roman" w:hAnsi="Times New Roman" w:eastAsia="宋体" w:cs="Times New Roman"/>
                      <w:bCs/>
                      <w:color w:val="auto"/>
                      <w:szCs w:val="21"/>
                    </w:rPr>
                  </w:pPr>
                </w:p>
              </w:tc>
              <w:tc>
                <w:tcPr>
                  <w:tcW w:w="1085" w:type="dxa"/>
                  <w:vAlign w:val="center"/>
                </w:tcPr>
                <w:p w14:paraId="2E4DD11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重量kg</w:t>
                  </w:r>
                </w:p>
              </w:tc>
              <w:tc>
                <w:tcPr>
                  <w:tcW w:w="1085" w:type="dxa"/>
                  <w:vAlign w:val="center"/>
                </w:tcPr>
                <w:p w14:paraId="5C4D4BC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重量t</w:t>
                  </w:r>
                </w:p>
              </w:tc>
              <w:tc>
                <w:tcPr>
                  <w:tcW w:w="1085" w:type="dxa"/>
                  <w:shd w:val="clear" w:color="auto" w:fill="auto"/>
                  <w:vAlign w:val="center"/>
                </w:tcPr>
                <w:p w14:paraId="57FD5AB6">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重量kg</w:t>
                  </w:r>
                </w:p>
              </w:tc>
              <w:tc>
                <w:tcPr>
                  <w:tcW w:w="1086" w:type="dxa"/>
                  <w:shd w:val="clear" w:color="auto" w:fill="auto"/>
                  <w:vAlign w:val="center"/>
                </w:tcPr>
                <w:p w14:paraId="4CDCB974">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重量t</w:t>
                  </w:r>
                </w:p>
              </w:tc>
            </w:tr>
            <w:tr w14:paraId="0ECF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07B1C14E">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p>
              </w:tc>
              <w:tc>
                <w:tcPr>
                  <w:tcW w:w="1263" w:type="dxa"/>
                  <w:vMerge w:val="restart"/>
                  <w:vAlign w:val="center"/>
                </w:tcPr>
                <w:p w14:paraId="4F1BEFDE">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产品</w:t>
                  </w:r>
                </w:p>
              </w:tc>
              <w:tc>
                <w:tcPr>
                  <w:tcW w:w="1962" w:type="dxa"/>
                  <w:vAlign w:val="center"/>
                </w:tcPr>
                <w:p w14:paraId="082FA1B0">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发动机</w:t>
                  </w:r>
                </w:p>
              </w:tc>
              <w:tc>
                <w:tcPr>
                  <w:tcW w:w="1085" w:type="dxa"/>
                  <w:vAlign w:val="center"/>
                </w:tcPr>
                <w:p w14:paraId="2EB7200F">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125</w:t>
                  </w:r>
                </w:p>
              </w:tc>
              <w:tc>
                <w:tcPr>
                  <w:tcW w:w="1085" w:type="dxa"/>
                  <w:vAlign w:val="center"/>
                </w:tcPr>
                <w:p w14:paraId="4A00B3CD">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618.75</w:t>
                  </w:r>
                </w:p>
              </w:tc>
              <w:tc>
                <w:tcPr>
                  <w:tcW w:w="1085" w:type="dxa"/>
                  <w:vAlign w:val="center"/>
                </w:tcPr>
                <w:p w14:paraId="0EAAFEB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525</w:t>
                  </w:r>
                </w:p>
              </w:tc>
              <w:tc>
                <w:tcPr>
                  <w:tcW w:w="1086" w:type="dxa"/>
                  <w:vAlign w:val="center"/>
                </w:tcPr>
                <w:p w14:paraId="2708AEF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26.25</w:t>
                  </w:r>
                </w:p>
              </w:tc>
            </w:tr>
            <w:tr w14:paraId="3930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1939EFBA">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w:t>
                  </w:r>
                </w:p>
              </w:tc>
              <w:tc>
                <w:tcPr>
                  <w:tcW w:w="1263" w:type="dxa"/>
                  <w:vMerge w:val="continue"/>
                  <w:vAlign w:val="center"/>
                </w:tcPr>
                <w:p w14:paraId="620707C3">
                  <w:pPr>
                    <w:jc w:val="center"/>
                    <w:rPr>
                      <w:rFonts w:ascii="Times New Roman" w:hAnsi="Times New Roman" w:eastAsia="宋体" w:cs="Times New Roman"/>
                      <w:bCs/>
                      <w:color w:val="auto"/>
                      <w:szCs w:val="21"/>
                    </w:rPr>
                  </w:pPr>
                </w:p>
              </w:tc>
              <w:tc>
                <w:tcPr>
                  <w:tcW w:w="1962" w:type="dxa"/>
                  <w:vAlign w:val="center"/>
                </w:tcPr>
                <w:p w14:paraId="2F95EFAD">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变速器</w:t>
                  </w:r>
                </w:p>
              </w:tc>
              <w:tc>
                <w:tcPr>
                  <w:tcW w:w="1085" w:type="dxa"/>
                  <w:vAlign w:val="center"/>
                </w:tcPr>
                <w:p w14:paraId="7DF6981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50</w:t>
                  </w:r>
                </w:p>
              </w:tc>
              <w:tc>
                <w:tcPr>
                  <w:tcW w:w="1085" w:type="dxa"/>
                  <w:vAlign w:val="center"/>
                </w:tcPr>
                <w:p w14:paraId="228AE2C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247.5</w:t>
                  </w:r>
                </w:p>
              </w:tc>
              <w:tc>
                <w:tcPr>
                  <w:tcW w:w="1085" w:type="dxa"/>
                  <w:vAlign w:val="center"/>
                </w:tcPr>
                <w:p w14:paraId="2140406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85</w:t>
                  </w:r>
                </w:p>
              </w:tc>
              <w:tc>
                <w:tcPr>
                  <w:tcW w:w="1086" w:type="dxa"/>
                  <w:vAlign w:val="center"/>
                </w:tcPr>
                <w:p w14:paraId="620B1324">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4.25</w:t>
                  </w:r>
                </w:p>
              </w:tc>
            </w:tr>
            <w:tr w14:paraId="1BD3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2C29BA61">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w:t>
                  </w:r>
                </w:p>
              </w:tc>
              <w:tc>
                <w:tcPr>
                  <w:tcW w:w="1263" w:type="dxa"/>
                  <w:vMerge w:val="continue"/>
                  <w:vAlign w:val="center"/>
                </w:tcPr>
                <w:p w14:paraId="5D1BE596">
                  <w:pPr>
                    <w:jc w:val="center"/>
                    <w:rPr>
                      <w:rFonts w:ascii="Times New Roman" w:hAnsi="Times New Roman" w:eastAsia="宋体" w:cs="Times New Roman"/>
                      <w:bCs/>
                      <w:color w:val="auto"/>
                      <w:szCs w:val="21"/>
                    </w:rPr>
                  </w:pPr>
                </w:p>
              </w:tc>
              <w:tc>
                <w:tcPr>
                  <w:tcW w:w="1962" w:type="dxa"/>
                  <w:vAlign w:val="center"/>
                </w:tcPr>
                <w:p w14:paraId="62F7C239">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车架</w:t>
                  </w:r>
                </w:p>
              </w:tc>
              <w:tc>
                <w:tcPr>
                  <w:tcW w:w="1085" w:type="dxa"/>
                  <w:vAlign w:val="center"/>
                </w:tcPr>
                <w:p w14:paraId="1C96736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520</w:t>
                  </w:r>
                </w:p>
              </w:tc>
              <w:tc>
                <w:tcPr>
                  <w:tcW w:w="1085" w:type="dxa"/>
                  <w:vAlign w:val="center"/>
                </w:tcPr>
                <w:p w14:paraId="159E3E3D">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2574</w:t>
                  </w:r>
                </w:p>
              </w:tc>
              <w:tc>
                <w:tcPr>
                  <w:tcW w:w="1085" w:type="dxa"/>
                  <w:vAlign w:val="center"/>
                </w:tcPr>
                <w:p w14:paraId="684B884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2850</w:t>
                  </w:r>
                </w:p>
              </w:tc>
              <w:tc>
                <w:tcPr>
                  <w:tcW w:w="1086" w:type="dxa"/>
                  <w:vAlign w:val="center"/>
                </w:tcPr>
                <w:p w14:paraId="07CFC574">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142.5</w:t>
                  </w:r>
                </w:p>
              </w:tc>
            </w:tr>
            <w:tr w14:paraId="23B9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43E9396A">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4</w:t>
                  </w:r>
                </w:p>
              </w:tc>
              <w:tc>
                <w:tcPr>
                  <w:tcW w:w="1263" w:type="dxa"/>
                  <w:vMerge w:val="continue"/>
                  <w:vAlign w:val="center"/>
                </w:tcPr>
                <w:p w14:paraId="5ACB1D5C">
                  <w:pPr>
                    <w:jc w:val="center"/>
                    <w:rPr>
                      <w:rFonts w:ascii="Times New Roman" w:hAnsi="Times New Roman" w:eastAsia="宋体" w:cs="Times New Roman"/>
                      <w:bCs/>
                      <w:color w:val="auto"/>
                      <w:szCs w:val="21"/>
                    </w:rPr>
                  </w:pPr>
                </w:p>
              </w:tc>
              <w:tc>
                <w:tcPr>
                  <w:tcW w:w="1962" w:type="dxa"/>
                  <w:vAlign w:val="center"/>
                </w:tcPr>
                <w:p w14:paraId="22BACA6B">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前后桥</w:t>
                  </w:r>
                </w:p>
              </w:tc>
              <w:tc>
                <w:tcPr>
                  <w:tcW w:w="1085" w:type="dxa"/>
                  <w:vAlign w:val="center"/>
                </w:tcPr>
                <w:p w14:paraId="2C201476">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160</w:t>
                  </w:r>
                </w:p>
              </w:tc>
              <w:tc>
                <w:tcPr>
                  <w:tcW w:w="1085" w:type="dxa"/>
                  <w:vAlign w:val="center"/>
                </w:tcPr>
                <w:p w14:paraId="021AB87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792</w:t>
                  </w:r>
                </w:p>
              </w:tc>
              <w:tc>
                <w:tcPr>
                  <w:tcW w:w="1085" w:type="dxa"/>
                  <w:vAlign w:val="center"/>
                </w:tcPr>
                <w:p w14:paraId="276B86E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425</w:t>
                  </w:r>
                </w:p>
              </w:tc>
              <w:tc>
                <w:tcPr>
                  <w:tcW w:w="1086" w:type="dxa"/>
                  <w:vAlign w:val="center"/>
                </w:tcPr>
                <w:p w14:paraId="4FFD69A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21.25</w:t>
                  </w:r>
                </w:p>
              </w:tc>
            </w:tr>
            <w:tr w14:paraId="055B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30F1D4BF">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w:t>
                  </w:r>
                </w:p>
              </w:tc>
              <w:tc>
                <w:tcPr>
                  <w:tcW w:w="1263" w:type="dxa"/>
                  <w:vMerge w:val="continue"/>
                  <w:vAlign w:val="center"/>
                </w:tcPr>
                <w:p w14:paraId="71DE1063">
                  <w:pPr>
                    <w:jc w:val="center"/>
                    <w:rPr>
                      <w:rFonts w:ascii="Times New Roman" w:hAnsi="Times New Roman" w:eastAsia="宋体" w:cs="Times New Roman"/>
                      <w:bCs/>
                      <w:color w:val="auto"/>
                      <w:szCs w:val="21"/>
                    </w:rPr>
                  </w:pPr>
                </w:p>
              </w:tc>
              <w:tc>
                <w:tcPr>
                  <w:tcW w:w="1962" w:type="dxa"/>
                  <w:vAlign w:val="center"/>
                </w:tcPr>
                <w:p w14:paraId="69AA923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转向系统</w:t>
                  </w:r>
                </w:p>
              </w:tc>
              <w:tc>
                <w:tcPr>
                  <w:tcW w:w="1085" w:type="dxa"/>
                  <w:vAlign w:val="center"/>
                </w:tcPr>
                <w:p w14:paraId="21669DCF">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25</w:t>
                  </w:r>
                </w:p>
              </w:tc>
              <w:tc>
                <w:tcPr>
                  <w:tcW w:w="1085" w:type="dxa"/>
                  <w:vAlign w:val="center"/>
                </w:tcPr>
                <w:p w14:paraId="4877D812">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123.75</w:t>
                  </w:r>
                </w:p>
              </w:tc>
              <w:tc>
                <w:tcPr>
                  <w:tcW w:w="1085" w:type="dxa"/>
                  <w:vAlign w:val="center"/>
                </w:tcPr>
                <w:p w14:paraId="4870397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40</w:t>
                  </w:r>
                </w:p>
              </w:tc>
              <w:tc>
                <w:tcPr>
                  <w:tcW w:w="1086" w:type="dxa"/>
                  <w:vAlign w:val="center"/>
                </w:tcPr>
                <w:p w14:paraId="31A0EC52">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r>
            <w:tr w14:paraId="2B51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45CC6FB8">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6</w:t>
                  </w:r>
                </w:p>
              </w:tc>
              <w:tc>
                <w:tcPr>
                  <w:tcW w:w="1263" w:type="dxa"/>
                  <w:vMerge w:val="continue"/>
                  <w:vAlign w:val="center"/>
                </w:tcPr>
                <w:p w14:paraId="56E54EB4">
                  <w:pPr>
                    <w:jc w:val="center"/>
                    <w:rPr>
                      <w:rFonts w:ascii="Times New Roman" w:hAnsi="Times New Roman" w:eastAsia="宋体" w:cs="Times New Roman"/>
                      <w:bCs/>
                      <w:color w:val="auto"/>
                      <w:szCs w:val="21"/>
                    </w:rPr>
                  </w:pPr>
                </w:p>
              </w:tc>
              <w:tc>
                <w:tcPr>
                  <w:tcW w:w="1962" w:type="dxa"/>
                  <w:vAlign w:val="center"/>
                </w:tcPr>
                <w:p w14:paraId="21AB89F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钢铁</w:t>
                  </w:r>
                </w:p>
              </w:tc>
              <w:tc>
                <w:tcPr>
                  <w:tcW w:w="1085" w:type="dxa"/>
                  <w:vAlign w:val="center"/>
                </w:tcPr>
                <w:p w14:paraId="125CF92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450</w:t>
                  </w:r>
                </w:p>
              </w:tc>
              <w:tc>
                <w:tcPr>
                  <w:tcW w:w="1085" w:type="dxa"/>
                  <w:vAlign w:val="center"/>
                </w:tcPr>
                <w:p w14:paraId="0AB4F6D0">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2227.5</w:t>
                  </w:r>
                </w:p>
              </w:tc>
              <w:tc>
                <w:tcPr>
                  <w:tcW w:w="1085" w:type="dxa"/>
                  <w:vAlign w:val="center"/>
                </w:tcPr>
                <w:p w14:paraId="45351E3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865</w:t>
                  </w:r>
                </w:p>
              </w:tc>
              <w:tc>
                <w:tcPr>
                  <w:tcW w:w="1086" w:type="dxa"/>
                  <w:vAlign w:val="center"/>
                </w:tcPr>
                <w:p w14:paraId="2FD51255">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43.25</w:t>
                  </w:r>
                </w:p>
              </w:tc>
            </w:tr>
            <w:tr w14:paraId="0C2D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3BE6D23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7</w:t>
                  </w:r>
                </w:p>
              </w:tc>
              <w:tc>
                <w:tcPr>
                  <w:tcW w:w="1263" w:type="dxa"/>
                  <w:vMerge w:val="continue"/>
                  <w:vAlign w:val="center"/>
                </w:tcPr>
                <w:p w14:paraId="4E0D279D">
                  <w:pPr>
                    <w:jc w:val="center"/>
                    <w:rPr>
                      <w:rFonts w:ascii="Times New Roman" w:hAnsi="Times New Roman" w:eastAsia="宋体" w:cs="Times New Roman"/>
                      <w:bCs/>
                      <w:color w:val="auto"/>
                      <w:szCs w:val="21"/>
                    </w:rPr>
                  </w:pPr>
                </w:p>
              </w:tc>
              <w:tc>
                <w:tcPr>
                  <w:tcW w:w="1962" w:type="dxa"/>
                  <w:vAlign w:val="center"/>
                </w:tcPr>
                <w:p w14:paraId="7C21273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有色金属</w:t>
                  </w:r>
                </w:p>
              </w:tc>
              <w:tc>
                <w:tcPr>
                  <w:tcW w:w="1085" w:type="dxa"/>
                  <w:vAlign w:val="center"/>
                </w:tcPr>
                <w:p w14:paraId="41B34E0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105</w:t>
                  </w:r>
                </w:p>
              </w:tc>
              <w:tc>
                <w:tcPr>
                  <w:tcW w:w="1085" w:type="dxa"/>
                  <w:vAlign w:val="center"/>
                </w:tcPr>
                <w:p w14:paraId="005DC480">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519.75</w:t>
                  </w:r>
                </w:p>
              </w:tc>
              <w:tc>
                <w:tcPr>
                  <w:tcW w:w="1085" w:type="dxa"/>
                  <w:vAlign w:val="center"/>
                </w:tcPr>
                <w:p w14:paraId="3D8826E9">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280</w:t>
                  </w:r>
                </w:p>
              </w:tc>
              <w:tc>
                <w:tcPr>
                  <w:tcW w:w="1086" w:type="dxa"/>
                  <w:vAlign w:val="center"/>
                </w:tcPr>
                <w:p w14:paraId="24F63F6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14</w:t>
                  </w:r>
                </w:p>
              </w:tc>
            </w:tr>
            <w:tr w14:paraId="4D11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0DF0A31F">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8</w:t>
                  </w:r>
                </w:p>
              </w:tc>
              <w:tc>
                <w:tcPr>
                  <w:tcW w:w="1263" w:type="dxa"/>
                  <w:vMerge w:val="continue"/>
                  <w:vAlign w:val="center"/>
                </w:tcPr>
                <w:p w14:paraId="15511EC0">
                  <w:pPr>
                    <w:jc w:val="center"/>
                    <w:rPr>
                      <w:rFonts w:ascii="Times New Roman" w:hAnsi="Times New Roman" w:eastAsia="宋体" w:cs="Times New Roman"/>
                      <w:bCs/>
                      <w:color w:val="auto"/>
                      <w:szCs w:val="21"/>
                    </w:rPr>
                  </w:pPr>
                </w:p>
              </w:tc>
              <w:tc>
                <w:tcPr>
                  <w:tcW w:w="1962" w:type="dxa"/>
                  <w:vAlign w:val="center"/>
                </w:tcPr>
                <w:p w14:paraId="7E51BB2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塑料</w:t>
                  </w:r>
                </w:p>
              </w:tc>
              <w:tc>
                <w:tcPr>
                  <w:tcW w:w="1085" w:type="dxa"/>
                  <w:vAlign w:val="center"/>
                </w:tcPr>
                <w:p w14:paraId="6F1D0A50">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40</w:t>
                  </w:r>
                </w:p>
              </w:tc>
              <w:tc>
                <w:tcPr>
                  <w:tcW w:w="1085" w:type="dxa"/>
                  <w:vAlign w:val="center"/>
                </w:tcPr>
                <w:p w14:paraId="02D3FAFC">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198</w:t>
                  </w:r>
                </w:p>
              </w:tc>
              <w:tc>
                <w:tcPr>
                  <w:tcW w:w="1085" w:type="dxa"/>
                  <w:vAlign w:val="center"/>
                </w:tcPr>
                <w:p w14:paraId="69E1F126">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160</w:t>
                  </w:r>
                </w:p>
              </w:tc>
              <w:tc>
                <w:tcPr>
                  <w:tcW w:w="1086" w:type="dxa"/>
                  <w:vAlign w:val="center"/>
                </w:tcPr>
                <w:p w14:paraId="704AD915">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8</w:t>
                  </w:r>
                </w:p>
              </w:tc>
            </w:tr>
            <w:tr w14:paraId="30D8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64F40CBB">
                  <w:pPr>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9</w:t>
                  </w:r>
                </w:p>
              </w:tc>
              <w:tc>
                <w:tcPr>
                  <w:tcW w:w="1263" w:type="dxa"/>
                  <w:vMerge w:val="continue"/>
                  <w:vAlign w:val="center"/>
                </w:tcPr>
                <w:p w14:paraId="4295FA86">
                  <w:pPr>
                    <w:jc w:val="center"/>
                    <w:rPr>
                      <w:rFonts w:ascii="Times New Roman" w:hAnsi="Times New Roman" w:eastAsia="宋体" w:cs="Times New Roman"/>
                      <w:bCs/>
                      <w:color w:val="auto"/>
                      <w:szCs w:val="21"/>
                    </w:rPr>
                  </w:pPr>
                </w:p>
              </w:tc>
              <w:tc>
                <w:tcPr>
                  <w:tcW w:w="1962" w:type="dxa"/>
                  <w:vAlign w:val="center"/>
                </w:tcPr>
                <w:p w14:paraId="38416C3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橡胶</w:t>
                  </w:r>
                </w:p>
              </w:tc>
              <w:tc>
                <w:tcPr>
                  <w:tcW w:w="1085" w:type="dxa"/>
                  <w:vAlign w:val="center"/>
                </w:tcPr>
                <w:p w14:paraId="72DAD5A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40</w:t>
                  </w:r>
                </w:p>
              </w:tc>
              <w:tc>
                <w:tcPr>
                  <w:tcW w:w="1085" w:type="dxa"/>
                  <w:vAlign w:val="center"/>
                </w:tcPr>
                <w:p w14:paraId="5B2D2CE2">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198</w:t>
                  </w:r>
                </w:p>
              </w:tc>
              <w:tc>
                <w:tcPr>
                  <w:tcW w:w="1085" w:type="dxa"/>
                  <w:vAlign w:val="center"/>
                </w:tcPr>
                <w:p w14:paraId="2AD1CFA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115</w:t>
                  </w:r>
                </w:p>
              </w:tc>
              <w:tc>
                <w:tcPr>
                  <w:tcW w:w="1086" w:type="dxa"/>
                  <w:vAlign w:val="center"/>
                </w:tcPr>
                <w:p w14:paraId="5597B76C">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5.75</w:t>
                  </w:r>
                </w:p>
              </w:tc>
            </w:tr>
            <w:tr w14:paraId="0A82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1A40D6C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10</w:t>
                  </w:r>
                </w:p>
              </w:tc>
              <w:tc>
                <w:tcPr>
                  <w:tcW w:w="1263" w:type="dxa"/>
                  <w:vMerge w:val="continue"/>
                  <w:vAlign w:val="center"/>
                </w:tcPr>
                <w:p w14:paraId="76FF0557">
                  <w:pPr>
                    <w:jc w:val="center"/>
                    <w:rPr>
                      <w:rFonts w:ascii="Times New Roman" w:hAnsi="Times New Roman" w:eastAsia="宋体" w:cs="Times New Roman"/>
                      <w:bCs/>
                      <w:color w:val="auto"/>
                      <w:szCs w:val="21"/>
                    </w:rPr>
                  </w:pPr>
                </w:p>
              </w:tc>
              <w:tc>
                <w:tcPr>
                  <w:tcW w:w="1962" w:type="dxa"/>
                  <w:vAlign w:val="center"/>
                </w:tcPr>
                <w:p w14:paraId="1C4F2D3E">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玻璃</w:t>
                  </w:r>
                </w:p>
              </w:tc>
              <w:tc>
                <w:tcPr>
                  <w:tcW w:w="1085" w:type="dxa"/>
                  <w:vAlign w:val="center"/>
                </w:tcPr>
                <w:p w14:paraId="2CF4FA0E">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25</w:t>
                  </w:r>
                </w:p>
              </w:tc>
              <w:tc>
                <w:tcPr>
                  <w:tcW w:w="1085" w:type="dxa"/>
                  <w:vAlign w:val="center"/>
                </w:tcPr>
                <w:p w14:paraId="6A71BDEB">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123.75</w:t>
                  </w:r>
                </w:p>
              </w:tc>
              <w:tc>
                <w:tcPr>
                  <w:tcW w:w="1085" w:type="dxa"/>
                  <w:vAlign w:val="center"/>
                </w:tcPr>
                <w:p w14:paraId="31AD7FBD">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45</w:t>
                  </w:r>
                </w:p>
              </w:tc>
              <w:tc>
                <w:tcPr>
                  <w:tcW w:w="1086" w:type="dxa"/>
                  <w:vAlign w:val="center"/>
                </w:tcPr>
                <w:p w14:paraId="2E9593DA">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2.25</w:t>
                  </w:r>
                </w:p>
              </w:tc>
            </w:tr>
            <w:tr w14:paraId="1C32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3428C29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11</w:t>
                  </w:r>
                </w:p>
              </w:tc>
              <w:tc>
                <w:tcPr>
                  <w:tcW w:w="1263" w:type="dxa"/>
                  <w:vMerge w:val="continue"/>
                  <w:vAlign w:val="center"/>
                </w:tcPr>
                <w:p w14:paraId="464822B7">
                  <w:pPr>
                    <w:jc w:val="center"/>
                    <w:rPr>
                      <w:rFonts w:ascii="Times New Roman" w:hAnsi="Times New Roman" w:eastAsia="宋体" w:cs="Times New Roman"/>
                      <w:bCs/>
                      <w:color w:val="auto"/>
                      <w:szCs w:val="21"/>
                    </w:rPr>
                  </w:pPr>
                </w:p>
              </w:tc>
              <w:tc>
                <w:tcPr>
                  <w:tcW w:w="1962" w:type="dxa"/>
                  <w:vAlign w:val="center"/>
                </w:tcPr>
                <w:p w14:paraId="4E767D7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小计</w:t>
                  </w:r>
                </w:p>
              </w:tc>
              <w:tc>
                <w:tcPr>
                  <w:tcW w:w="1085" w:type="dxa"/>
                  <w:vAlign w:val="center"/>
                </w:tcPr>
                <w:p w14:paraId="308BBDF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1540</w:t>
                  </w:r>
                </w:p>
              </w:tc>
              <w:tc>
                <w:tcPr>
                  <w:tcW w:w="1085" w:type="dxa"/>
                  <w:vAlign w:val="center"/>
                </w:tcPr>
                <w:p w14:paraId="7F279EB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7623</w:t>
                  </w:r>
                </w:p>
              </w:tc>
              <w:tc>
                <w:tcPr>
                  <w:tcW w:w="1085" w:type="dxa"/>
                  <w:vAlign w:val="center"/>
                </w:tcPr>
                <w:p w14:paraId="0F33D568">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5390</w:t>
                  </w:r>
                </w:p>
              </w:tc>
              <w:tc>
                <w:tcPr>
                  <w:tcW w:w="1086" w:type="dxa"/>
                  <w:vAlign w:val="center"/>
                </w:tcPr>
                <w:p w14:paraId="5E0BACA9">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269.5</w:t>
                  </w:r>
                </w:p>
              </w:tc>
            </w:tr>
            <w:tr w14:paraId="2ED0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78C483A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12</w:t>
                  </w:r>
                </w:p>
              </w:tc>
              <w:tc>
                <w:tcPr>
                  <w:tcW w:w="1263" w:type="dxa"/>
                  <w:vMerge w:val="restart"/>
                  <w:vAlign w:val="center"/>
                </w:tcPr>
                <w:p w14:paraId="1D61AFF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一般工业废物</w:t>
                  </w:r>
                </w:p>
              </w:tc>
              <w:tc>
                <w:tcPr>
                  <w:tcW w:w="1962" w:type="dxa"/>
                  <w:vAlign w:val="center"/>
                </w:tcPr>
                <w:p w14:paraId="063713D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皮布制品</w:t>
                  </w:r>
                </w:p>
              </w:tc>
              <w:tc>
                <w:tcPr>
                  <w:tcW w:w="1085" w:type="dxa"/>
                  <w:vAlign w:val="center"/>
                </w:tcPr>
                <w:p w14:paraId="363B4159">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37</w:t>
                  </w:r>
                </w:p>
              </w:tc>
              <w:tc>
                <w:tcPr>
                  <w:tcW w:w="1085" w:type="dxa"/>
                  <w:vAlign w:val="center"/>
                </w:tcPr>
                <w:p w14:paraId="7A8E3A2F">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183.15</w:t>
                  </w:r>
                </w:p>
              </w:tc>
              <w:tc>
                <w:tcPr>
                  <w:tcW w:w="1085" w:type="dxa"/>
                  <w:vAlign w:val="center"/>
                </w:tcPr>
                <w:p w14:paraId="0DD06B1E">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202</w:t>
                  </w:r>
                </w:p>
              </w:tc>
              <w:tc>
                <w:tcPr>
                  <w:tcW w:w="1086" w:type="dxa"/>
                  <w:vAlign w:val="center"/>
                </w:tcPr>
                <w:p w14:paraId="596421B2">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10.1</w:t>
                  </w:r>
                </w:p>
              </w:tc>
            </w:tr>
            <w:tr w14:paraId="416B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706268A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13</w:t>
                  </w:r>
                </w:p>
              </w:tc>
              <w:tc>
                <w:tcPr>
                  <w:tcW w:w="1263" w:type="dxa"/>
                  <w:vMerge w:val="continue"/>
                  <w:vAlign w:val="center"/>
                </w:tcPr>
                <w:p w14:paraId="52021956">
                  <w:pPr>
                    <w:jc w:val="center"/>
                    <w:rPr>
                      <w:rFonts w:ascii="Times New Roman" w:hAnsi="Times New Roman" w:eastAsia="宋体" w:cs="Times New Roman"/>
                      <w:bCs/>
                      <w:color w:val="auto"/>
                      <w:szCs w:val="21"/>
                    </w:rPr>
                  </w:pPr>
                </w:p>
              </w:tc>
              <w:tc>
                <w:tcPr>
                  <w:tcW w:w="1962" w:type="dxa"/>
                  <w:vAlign w:val="center"/>
                </w:tcPr>
                <w:p w14:paraId="670F428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其他不可利用物</w:t>
                  </w:r>
                </w:p>
              </w:tc>
              <w:tc>
                <w:tcPr>
                  <w:tcW w:w="1085" w:type="dxa"/>
                  <w:vAlign w:val="center"/>
                </w:tcPr>
                <w:p w14:paraId="01B0DBA6">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c>
                <w:tcPr>
                  <w:tcW w:w="1085" w:type="dxa"/>
                  <w:vAlign w:val="center"/>
                </w:tcPr>
                <w:p w14:paraId="733C4A8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9.9</w:t>
                  </w:r>
                </w:p>
              </w:tc>
              <w:tc>
                <w:tcPr>
                  <w:tcW w:w="1085" w:type="dxa"/>
                  <w:vAlign w:val="center"/>
                </w:tcPr>
                <w:p w14:paraId="36F72EE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w:t>
                  </w:r>
                </w:p>
              </w:tc>
              <w:tc>
                <w:tcPr>
                  <w:tcW w:w="1086" w:type="dxa"/>
                  <w:vAlign w:val="center"/>
                </w:tcPr>
                <w:p w14:paraId="74859F7F">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w:t>
                  </w:r>
                </w:p>
              </w:tc>
            </w:tr>
            <w:tr w14:paraId="53BD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6925D7AD">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14</w:t>
                  </w:r>
                </w:p>
              </w:tc>
              <w:tc>
                <w:tcPr>
                  <w:tcW w:w="1263" w:type="dxa"/>
                  <w:vMerge w:val="continue"/>
                  <w:vAlign w:val="center"/>
                </w:tcPr>
                <w:p w14:paraId="34EFB6BD">
                  <w:pPr>
                    <w:jc w:val="center"/>
                    <w:rPr>
                      <w:rFonts w:ascii="Times New Roman" w:hAnsi="Times New Roman" w:eastAsia="宋体" w:cs="Times New Roman"/>
                      <w:bCs/>
                      <w:color w:val="auto"/>
                      <w:szCs w:val="21"/>
                    </w:rPr>
                  </w:pPr>
                </w:p>
              </w:tc>
              <w:tc>
                <w:tcPr>
                  <w:tcW w:w="1962" w:type="dxa"/>
                  <w:vAlign w:val="center"/>
                </w:tcPr>
                <w:p w14:paraId="29A669D3">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小计</w:t>
                  </w:r>
                </w:p>
              </w:tc>
              <w:tc>
                <w:tcPr>
                  <w:tcW w:w="1085" w:type="dxa"/>
                  <w:vAlign w:val="center"/>
                </w:tcPr>
                <w:p w14:paraId="5B91BA74">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39</w:t>
                  </w:r>
                </w:p>
              </w:tc>
              <w:tc>
                <w:tcPr>
                  <w:tcW w:w="1085" w:type="dxa"/>
                  <w:vAlign w:val="center"/>
                </w:tcPr>
                <w:p w14:paraId="3DE4B94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193.05</w:t>
                  </w:r>
                </w:p>
              </w:tc>
              <w:tc>
                <w:tcPr>
                  <w:tcW w:w="1085" w:type="dxa"/>
                  <w:vAlign w:val="center"/>
                </w:tcPr>
                <w:p w14:paraId="3DFC857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206</w:t>
                  </w:r>
                </w:p>
              </w:tc>
              <w:tc>
                <w:tcPr>
                  <w:tcW w:w="1086" w:type="dxa"/>
                  <w:vAlign w:val="center"/>
                </w:tcPr>
                <w:p w14:paraId="54EF438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10.3</w:t>
                  </w:r>
                </w:p>
              </w:tc>
            </w:tr>
            <w:tr w14:paraId="54CD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7D98882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w:t>
                  </w:r>
                </w:p>
              </w:tc>
              <w:tc>
                <w:tcPr>
                  <w:tcW w:w="1263" w:type="dxa"/>
                  <w:vMerge w:val="restart"/>
                  <w:vAlign w:val="center"/>
                </w:tcPr>
                <w:p w14:paraId="5828E1F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危险废物</w:t>
                  </w:r>
                </w:p>
              </w:tc>
              <w:tc>
                <w:tcPr>
                  <w:tcW w:w="1962" w:type="dxa"/>
                  <w:vAlign w:val="center"/>
                </w:tcPr>
                <w:p w14:paraId="5EE28B6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燃油（汽油、柴油）</w:t>
                  </w:r>
                </w:p>
              </w:tc>
              <w:tc>
                <w:tcPr>
                  <w:tcW w:w="1085" w:type="dxa"/>
                  <w:vAlign w:val="center"/>
                </w:tcPr>
                <w:p w14:paraId="52A73D1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0.5</w:t>
                  </w:r>
                </w:p>
              </w:tc>
              <w:tc>
                <w:tcPr>
                  <w:tcW w:w="1085" w:type="dxa"/>
                  <w:vAlign w:val="center"/>
                </w:tcPr>
                <w:p w14:paraId="354F454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2.475</w:t>
                  </w:r>
                </w:p>
              </w:tc>
              <w:tc>
                <w:tcPr>
                  <w:tcW w:w="1085" w:type="dxa"/>
                  <w:vAlign w:val="center"/>
                </w:tcPr>
                <w:p w14:paraId="0C9C6DA4">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c>
                <w:tcPr>
                  <w:tcW w:w="1086" w:type="dxa"/>
                  <w:vAlign w:val="center"/>
                </w:tcPr>
                <w:p w14:paraId="1A8433E5">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0.05</w:t>
                  </w:r>
                </w:p>
              </w:tc>
            </w:tr>
            <w:tr w14:paraId="1171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3772803A">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16</w:t>
                  </w:r>
                </w:p>
              </w:tc>
              <w:tc>
                <w:tcPr>
                  <w:tcW w:w="1263" w:type="dxa"/>
                  <w:vMerge w:val="continue"/>
                  <w:vAlign w:val="center"/>
                </w:tcPr>
                <w:p w14:paraId="2E9C0E90">
                  <w:pPr>
                    <w:jc w:val="center"/>
                    <w:rPr>
                      <w:rFonts w:ascii="Times New Roman" w:hAnsi="Times New Roman" w:eastAsia="宋体" w:cs="Times New Roman"/>
                      <w:bCs/>
                      <w:color w:val="auto"/>
                      <w:szCs w:val="21"/>
                    </w:rPr>
                  </w:pPr>
                </w:p>
              </w:tc>
              <w:tc>
                <w:tcPr>
                  <w:tcW w:w="1962" w:type="dxa"/>
                  <w:vAlign w:val="center"/>
                </w:tcPr>
                <w:p w14:paraId="77132EC0">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旧油</w:t>
                  </w:r>
                </w:p>
              </w:tc>
              <w:tc>
                <w:tcPr>
                  <w:tcW w:w="1085" w:type="dxa"/>
                  <w:vAlign w:val="center"/>
                </w:tcPr>
                <w:p w14:paraId="32FB4D68">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w:t>
                  </w:r>
                </w:p>
              </w:tc>
              <w:tc>
                <w:tcPr>
                  <w:tcW w:w="1085" w:type="dxa"/>
                  <w:vAlign w:val="center"/>
                </w:tcPr>
                <w:p w14:paraId="2F3AB00D">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29.7</w:t>
                  </w:r>
                </w:p>
              </w:tc>
              <w:tc>
                <w:tcPr>
                  <w:tcW w:w="1085" w:type="dxa"/>
                  <w:vAlign w:val="center"/>
                </w:tcPr>
                <w:p w14:paraId="7924944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10</w:t>
                  </w:r>
                </w:p>
              </w:tc>
              <w:tc>
                <w:tcPr>
                  <w:tcW w:w="1086" w:type="dxa"/>
                  <w:vAlign w:val="center"/>
                </w:tcPr>
                <w:p w14:paraId="0FE7BA35">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0.5</w:t>
                  </w:r>
                </w:p>
              </w:tc>
            </w:tr>
            <w:tr w14:paraId="6A62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52870B5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17</w:t>
                  </w:r>
                </w:p>
              </w:tc>
              <w:tc>
                <w:tcPr>
                  <w:tcW w:w="1263" w:type="dxa"/>
                  <w:vMerge w:val="continue"/>
                  <w:vAlign w:val="center"/>
                </w:tcPr>
                <w:p w14:paraId="7F2194FB">
                  <w:pPr>
                    <w:jc w:val="center"/>
                    <w:rPr>
                      <w:rFonts w:ascii="Times New Roman" w:hAnsi="Times New Roman" w:eastAsia="宋体" w:cs="Times New Roman"/>
                      <w:bCs/>
                      <w:color w:val="auto"/>
                      <w:szCs w:val="21"/>
                    </w:rPr>
                  </w:pPr>
                </w:p>
              </w:tc>
              <w:tc>
                <w:tcPr>
                  <w:tcW w:w="1962" w:type="dxa"/>
                  <w:vAlign w:val="center"/>
                </w:tcPr>
                <w:p w14:paraId="53722CE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制冷剂</w:t>
                  </w:r>
                </w:p>
              </w:tc>
              <w:tc>
                <w:tcPr>
                  <w:tcW w:w="1085" w:type="dxa"/>
                  <w:vAlign w:val="center"/>
                </w:tcPr>
                <w:p w14:paraId="790B4B38">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0.5</w:t>
                  </w:r>
                </w:p>
              </w:tc>
              <w:tc>
                <w:tcPr>
                  <w:tcW w:w="1085" w:type="dxa"/>
                  <w:vAlign w:val="center"/>
                </w:tcPr>
                <w:p w14:paraId="50E96E35">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2.475</w:t>
                  </w:r>
                </w:p>
              </w:tc>
              <w:tc>
                <w:tcPr>
                  <w:tcW w:w="1085" w:type="dxa"/>
                  <w:vAlign w:val="center"/>
                </w:tcPr>
                <w:p w14:paraId="6F65D15D">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c>
                <w:tcPr>
                  <w:tcW w:w="1086" w:type="dxa"/>
                  <w:vAlign w:val="center"/>
                </w:tcPr>
                <w:p w14:paraId="0F8B65F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0.05</w:t>
                  </w:r>
                </w:p>
              </w:tc>
            </w:tr>
            <w:tr w14:paraId="3958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5CD786D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18</w:t>
                  </w:r>
                </w:p>
              </w:tc>
              <w:tc>
                <w:tcPr>
                  <w:tcW w:w="1263" w:type="dxa"/>
                  <w:vMerge w:val="continue"/>
                  <w:vAlign w:val="center"/>
                </w:tcPr>
                <w:p w14:paraId="2B7F92A1">
                  <w:pPr>
                    <w:jc w:val="center"/>
                    <w:rPr>
                      <w:rFonts w:ascii="Times New Roman" w:hAnsi="Times New Roman" w:eastAsia="宋体" w:cs="Times New Roman"/>
                      <w:bCs/>
                      <w:color w:val="auto"/>
                      <w:szCs w:val="21"/>
                    </w:rPr>
                  </w:pPr>
                </w:p>
              </w:tc>
              <w:tc>
                <w:tcPr>
                  <w:tcW w:w="1962" w:type="dxa"/>
                  <w:vAlign w:val="center"/>
                </w:tcPr>
                <w:p w14:paraId="7B20E79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防冻液、冷却液</w:t>
                  </w:r>
                </w:p>
              </w:tc>
              <w:tc>
                <w:tcPr>
                  <w:tcW w:w="1085" w:type="dxa"/>
                  <w:vAlign w:val="center"/>
                </w:tcPr>
                <w:p w14:paraId="0E66D5EC">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0.5</w:t>
                  </w:r>
                </w:p>
              </w:tc>
              <w:tc>
                <w:tcPr>
                  <w:tcW w:w="1085" w:type="dxa"/>
                  <w:vAlign w:val="center"/>
                </w:tcPr>
                <w:p w14:paraId="2679612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2.475</w:t>
                  </w:r>
                </w:p>
              </w:tc>
              <w:tc>
                <w:tcPr>
                  <w:tcW w:w="1085" w:type="dxa"/>
                  <w:vAlign w:val="center"/>
                </w:tcPr>
                <w:p w14:paraId="311F2B6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1.25</w:t>
                  </w:r>
                </w:p>
              </w:tc>
              <w:tc>
                <w:tcPr>
                  <w:tcW w:w="1086" w:type="dxa"/>
                  <w:vAlign w:val="center"/>
                </w:tcPr>
                <w:p w14:paraId="4494FC3F">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0.0625</w:t>
                  </w:r>
                </w:p>
              </w:tc>
            </w:tr>
            <w:tr w14:paraId="6212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2E1A3542">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19</w:t>
                  </w:r>
                </w:p>
              </w:tc>
              <w:tc>
                <w:tcPr>
                  <w:tcW w:w="1263" w:type="dxa"/>
                  <w:vMerge w:val="continue"/>
                  <w:vAlign w:val="center"/>
                </w:tcPr>
                <w:p w14:paraId="7AFB88D8">
                  <w:pPr>
                    <w:jc w:val="center"/>
                    <w:rPr>
                      <w:rFonts w:ascii="Times New Roman" w:hAnsi="Times New Roman" w:eastAsia="宋体" w:cs="Times New Roman"/>
                      <w:bCs/>
                      <w:color w:val="auto"/>
                      <w:szCs w:val="21"/>
                    </w:rPr>
                  </w:pPr>
                </w:p>
              </w:tc>
              <w:tc>
                <w:tcPr>
                  <w:tcW w:w="1962" w:type="dxa"/>
                  <w:vAlign w:val="center"/>
                </w:tcPr>
                <w:p w14:paraId="34E8673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尾气催化剂</w:t>
                  </w:r>
                </w:p>
              </w:tc>
              <w:tc>
                <w:tcPr>
                  <w:tcW w:w="1085" w:type="dxa"/>
                  <w:vAlign w:val="center"/>
                </w:tcPr>
                <w:p w14:paraId="39D58D97">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0.25</w:t>
                  </w:r>
                </w:p>
              </w:tc>
              <w:tc>
                <w:tcPr>
                  <w:tcW w:w="1085" w:type="dxa"/>
                  <w:vAlign w:val="center"/>
                </w:tcPr>
                <w:p w14:paraId="4163648E">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1.2375</w:t>
                  </w:r>
                </w:p>
              </w:tc>
              <w:tc>
                <w:tcPr>
                  <w:tcW w:w="1085" w:type="dxa"/>
                  <w:vAlign w:val="center"/>
                </w:tcPr>
                <w:p w14:paraId="4FA88120">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0.75</w:t>
                  </w:r>
                </w:p>
              </w:tc>
              <w:tc>
                <w:tcPr>
                  <w:tcW w:w="1086" w:type="dxa"/>
                  <w:vAlign w:val="center"/>
                </w:tcPr>
                <w:p w14:paraId="47193C1B">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0.0375</w:t>
                  </w:r>
                </w:p>
              </w:tc>
            </w:tr>
            <w:tr w14:paraId="1564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204F1A0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w:t>
                  </w:r>
                </w:p>
              </w:tc>
              <w:tc>
                <w:tcPr>
                  <w:tcW w:w="1263" w:type="dxa"/>
                  <w:vMerge w:val="continue"/>
                  <w:vAlign w:val="center"/>
                </w:tcPr>
                <w:p w14:paraId="120F02C0">
                  <w:pPr>
                    <w:jc w:val="center"/>
                    <w:rPr>
                      <w:rFonts w:ascii="Times New Roman" w:hAnsi="Times New Roman" w:eastAsia="宋体" w:cs="Times New Roman"/>
                      <w:bCs/>
                      <w:color w:val="auto"/>
                      <w:szCs w:val="21"/>
                    </w:rPr>
                  </w:pPr>
                </w:p>
              </w:tc>
              <w:tc>
                <w:tcPr>
                  <w:tcW w:w="1962" w:type="dxa"/>
                  <w:vAlign w:val="center"/>
                </w:tcPr>
                <w:p w14:paraId="0C6A7DB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铅蓄电池</w:t>
                  </w:r>
                </w:p>
              </w:tc>
              <w:tc>
                <w:tcPr>
                  <w:tcW w:w="1085" w:type="dxa"/>
                  <w:vAlign w:val="center"/>
                </w:tcPr>
                <w:p w14:paraId="2FDE20D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15</w:t>
                  </w:r>
                </w:p>
              </w:tc>
              <w:tc>
                <w:tcPr>
                  <w:tcW w:w="1085" w:type="dxa"/>
                  <w:vAlign w:val="center"/>
                </w:tcPr>
                <w:p w14:paraId="6A3EFB14">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74.25</w:t>
                  </w:r>
                </w:p>
              </w:tc>
              <w:tc>
                <w:tcPr>
                  <w:tcW w:w="1085" w:type="dxa"/>
                  <w:vAlign w:val="center"/>
                </w:tcPr>
                <w:p w14:paraId="6F96B378">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20</w:t>
                  </w:r>
                </w:p>
              </w:tc>
              <w:tc>
                <w:tcPr>
                  <w:tcW w:w="1086" w:type="dxa"/>
                  <w:vAlign w:val="center"/>
                </w:tcPr>
                <w:p w14:paraId="179BC593">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r>
            <w:tr w14:paraId="431E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1E875638">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21</w:t>
                  </w:r>
                </w:p>
              </w:tc>
              <w:tc>
                <w:tcPr>
                  <w:tcW w:w="1263" w:type="dxa"/>
                  <w:vMerge w:val="continue"/>
                  <w:vAlign w:val="center"/>
                </w:tcPr>
                <w:p w14:paraId="0F901FEA">
                  <w:pPr>
                    <w:jc w:val="center"/>
                    <w:rPr>
                      <w:rFonts w:ascii="Times New Roman" w:hAnsi="Times New Roman" w:eastAsia="宋体" w:cs="Times New Roman"/>
                      <w:bCs/>
                      <w:color w:val="auto"/>
                      <w:szCs w:val="21"/>
                    </w:rPr>
                  </w:pPr>
                </w:p>
              </w:tc>
              <w:tc>
                <w:tcPr>
                  <w:tcW w:w="1962" w:type="dxa"/>
                  <w:vAlign w:val="center"/>
                </w:tcPr>
                <w:p w14:paraId="2396F824">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含多氯联苯的废电容</w:t>
                  </w:r>
                </w:p>
              </w:tc>
              <w:tc>
                <w:tcPr>
                  <w:tcW w:w="1085" w:type="dxa"/>
                  <w:vAlign w:val="center"/>
                </w:tcPr>
                <w:p w14:paraId="785FDEE1">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0.25</w:t>
                  </w:r>
                </w:p>
              </w:tc>
              <w:tc>
                <w:tcPr>
                  <w:tcW w:w="1085" w:type="dxa"/>
                  <w:vAlign w:val="center"/>
                </w:tcPr>
                <w:p w14:paraId="61967D4D">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1.2375</w:t>
                  </w:r>
                </w:p>
              </w:tc>
              <w:tc>
                <w:tcPr>
                  <w:tcW w:w="1085" w:type="dxa"/>
                  <w:vAlign w:val="center"/>
                </w:tcPr>
                <w:p w14:paraId="0B4AE97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w:t>
                  </w:r>
                </w:p>
              </w:tc>
              <w:tc>
                <w:tcPr>
                  <w:tcW w:w="1086" w:type="dxa"/>
                  <w:vAlign w:val="center"/>
                </w:tcPr>
                <w:p w14:paraId="4EEC086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0.05</w:t>
                  </w:r>
                </w:p>
              </w:tc>
            </w:tr>
            <w:tr w14:paraId="5334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6671E43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22</w:t>
                  </w:r>
                </w:p>
              </w:tc>
              <w:tc>
                <w:tcPr>
                  <w:tcW w:w="1263" w:type="dxa"/>
                  <w:vMerge w:val="continue"/>
                  <w:vAlign w:val="center"/>
                </w:tcPr>
                <w:p w14:paraId="07ADA9DC">
                  <w:pPr>
                    <w:jc w:val="center"/>
                    <w:rPr>
                      <w:rFonts w:ascii="Times New Roman" w:hAnsi="Times New Roman" w:eastAsia="宋体" w:cs="Times New Roman"/>
                      <w:bCs/>
                      <w:color w:val="auto"/>
                      <w:szCs w:val="21"/>
                    </w:rPr>
                  </w:pPr>
                </w:p>
              </w:tc>
              <w:tc>
                <w:tcPr>
                  <w:tcW w:w="1962" w:type="dxa"/>
                  <w:vAlign w:val="center"/>
                </w:tcPr>
                <w:p w14:paraId="3E68DB86">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废制动衬片</w:t>
                  </w:r>
                </w:p>
              </w:tc>
              <w:tc>
                <w:tcPr>
                  <w:tcW w:w="1085" w:type="dxa"/>
                  <w:vAlign w:val="center"/>
                </w:tcPr>
                <w:p w14:paraId="5E762861">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1.8</w:t>
                  </w:r>
                </w:p>
              </w:tc>
              <w:tc>
                <w:tcPr>
                  <w:tcW w:w="1085" w:type="dxa"/>
                  <w:vAlign w:val="center"/>
                </w:tcPr>
                <w:p w14:paraId="0080D8EE">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8.91</w:t>
                  </w:r>
                </w:p>
              </w:tc>
              <w:tc>
                <w:tcPr>
                  <w:tcW w:w="1085" w:type="dxa"/>
                  <w:vAlign w:val="center"/>
                </w:tcPr>
                <w:p w14:paraId="16FBC64F">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4.5</w:t>
                  </w:r>
                </w:p>
              </w:tc>
              <w:tc>
                <w:tcPr>
                  <w:tcW w:w="1086" w:type="dxa"/>
                  <w:vAlign w:val="center"/>
                </w:tcPr>
                <w:p w14:paraId="638A2B6E">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0.225</w:t>
                  </w:r>
                </w:p>
              </w:tc>
            </w:tr>
            <w:tr w14:paraId="5322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6160716D">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23</w:t>
                  </w:r>
                </w:p>
              </w:tc>
              <w:tc>
                <w:tcPr>
                  <w:tcW w:w="1263" w:type="dxa"/>
                  <w:vMerge w:val="continue"/>
                  <w:vAlign w:val="center"/>
                </w:tcPr>
                <w:p w14:paraId="4DBF43FB">
                  <w:pPr>
                    <w:jc w:val="center"/>
                    <w:rPr>
                      <w:rFonts w:ascii="Times New Roman" w:hAnsi="Times New Roman" w:eastAsia="宋体" w:cs="Times New Roman"/>
                      <w:bCs/>
                      <w:color w:val="auto"/>
                      <w:szCs w:val="21"/>
                    </w:rPr>
                  </w:pPr>
                </w:p>
              </w:tc>
              <w:tc>
                <w:tcPr>
                  <w:tcW w:w="1962" w:type="dxa"/>
                  <w:vAlign w:val="center"/>
                </w:tcPr>
                <w:p w14:paraId="70BFA58B">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电路板、电子元器件</w:t>
                  </w:r>
                </w:p>
              </w:tc>
              <w:tc>
                <w:tcPr>
                  <w:tcW w:w="1085" w:type="dxa"/>
                  <w:vAlign w:val="center"/>
                </w:tcPr>
                <w:p w14:paraId="4885EEC4">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3.5</w:t>
                  </w:r>
                </w:p>
              </w:tc>
              <w:tc>
                <w:tcPr>
                  <w:tcW w:w="1085" w:type="dxa"/>
                  <w:vAlign w:val="center"/>
                </w:tcPr>
                <w:p w14:paraId="3D4B4CB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17.325</w:t>
                  </w:r>
                </w:p>
              </w:tc>
              <w:tc>
                <w:tcPr>
                  <w:tcW w:w="1085" w:type="dxa"/>
                  <w:vAlign w:val="center"/>
                </w:tcPr>
                <w:p w14:paraId="2082EEA9">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5</w:t>
                  </w:r>
                </w:p>
              </w:tc>
              <w:tc>
                <w:tcPr>
                  <w:tcW w:w="1086" w:type="dxa"/>
                  <w:vAlign w:val="center"/>
                </w:tcPr>
                <w:p w14:paraId="100875C7">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0.25</w:t>
                  </w:r>
                </w:p>
              </w:tc>
            </w:tr>
            <w:tr w14:paraId="6C70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7BBFB58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24</w:t>
                  </w:r>
                </w:p>
              </w:tc>
              <w:tc>
                <w:tcPr>
                  <w:tcW w:w="1263" w:type="dxa"/>
                  <w:vMerge w:val="continue"/>
                  <w:vAlign w:val="center"/>
                </w:tcPr>
                <w:p w14:paraId="2C6F449C">
                  <w:pPr>
                    <w:jc w:val="center"/>
                    <w:rPr>
                      <w:rFonts w:ascii="Times New Roman" w:hAnsi="Times New Roman" w:eastAsia="宋体" w:cs="Times New Roman"/>
                      <w:bCs/>
                      <w:color w:val="auto"/>
                      <w:szCs w:val="21"/>
                    </w:rPr>
                  </w:pPr>
                </w:p>
              </w:tc>
              <w:tc>
                <w:tcPr>
                  <w:tcW w:w="1962" w:type="dxa"/>
                  <w:vAlign w:val="center"/>
                </w:tcPr>
                <w:p w14:paraId="61DF7F55">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含汞光源</w:t>
                  </w:r>
                </w:p>
              </w:tc>
              <w:tc>
                <w:tcPr>
                  <w:tcW w:w="1085" w:type="dxa"/>
                  <w:vAlign w:val="center"/>
                </w:tcPr>
                <w:p w14:paraId="721E5AD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0.5</w:t>
                  </w:r>
                </w:p>
              </w:tc>
              <w:tc>
                <w:tcPr>
                  <w:tcW w:w="1085" w:type="dxa"/>
                  <w:vAlign w:val="center"/>
                </w:tcPr>
                <w:p w14:paraId="5BBA47FA">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2.475</w:t>
                  </w:r>
                </w:p>
              </w:tc>
              <w:tc>
                <w:tcPr>
                  <w:tcW w:w="1085" w:type="dxa"/>
                  <w:vAlign w:val="center"/>
                </w:tcPr>
                <w:p w14:paraId="4E0C08B5">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1.2</w:t>
                  </w:r>
                </w:p>
              </w:tc>
              <w:tc>
                <w:tcPr>
                  <w:tcW w:w="1086" w:type="dxa"/>
                  <w:vAlign w:val="center"/>
                </w:tcPr>
                <w:p w14:paraId="745F5EAA">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0.06</w:t>
                  </w:r>
                </w:p>
              </w:tc>
            </w:tr>
            <w:tr w14:paraId="38E3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6E7D50C1">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25</w:t>
                  </w:r>
                </w:p>
              </w:tc>
              <w:tc>
                <w:tcPr>
                  <w:tcW w:w="1263" w:type="dxa"/>
                  <w:vMerge w:val="continue"/>
                  <w:vAlign w:val="center"/>
                </w:tcPr>
                <w:p w14:paraId="635B7021">
                  <w:pPr>
                    <w:jc w:val="center"/>
                    <w:rPr>
                      <w:rFonts w:ascii="Times New Roman" w:hAnsi="Times New Roman" w:eastAsia="宋体" w:cs="Times New Roman"/>
                      <w:bCs/>
                      <w:color w:val="auto"/>
                      <w:szCs w:val="21"/>
                    </w:rPr>
                  </w:pPr>
                </w:p>
              </w:tc>
              <w:tc>
                <w:tcPr>
                  <w:tcW w:w="1962" w:type="dxa"/>
                  <w:vAlign w:val="center"/>
                </w:tcPr>
                <w:p w14:paraId="2A4F1629">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废机油滤清器</w:t>
                  </w:r>
                </w:p>
              </w:tc>
              <w:tc>
                <w:tcPr>
                  <w:tcW w:w="1085" w:type="dxa"/>
                  <w:vAlign w:val="center"/>
                </w:tcPr>
                <w:p w14:paraId="5908987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0.2</w:t>
                  </w:r>
                </w:p>
              </w:tc>
              <w:tc>
                <w:tcPr>
                  <w:tcW w:w="1085" w:type="dxa"/>
                  <w:vAlign w:val="center"/>
                </w:tcPr>
                <w:p w14:paraId="419355A4">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0.99</w:t>
                  </w:r>
                </w:p>
              </w:tc>
              <w:tc>
                <w:tcPr>
                  <w:tcW w:w="1085" w:type="dxa"/>
                  <w:vAlign w:val="center"/>
                </w:tcPr>
                <w:p w14:paraId="36A43BB3">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0.4</w:t>
                  </w:r>
                </w:p>
              </w:tc>
              <w:tc>
                <w:tcPr>
                  <w:tcW w:w="1086" w:type="dxa"/>
                  <w:vAlign w:val="center"/>
                </w:tcPr>
                <w:p w14:paraId="277498FA">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0.02</w:t>
                  </w:r>
                </w:p>
              </w:tc>
            </w:tr>
            <w:tr w14:paraId="230F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Align w:val="center"/>
                </w:tcPr>
                <w:p w14:paraId="1057E90F">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26</w:t>
                  </w:r>
                </w:p>
              </w:tc>
              <w:tc>
                <w:tcPr>
                  <w:tcW w:w="1263" w:type="dxa"/>
                  <w:vMerge w:val="continue"/>
                  <w:vAlign w:val="center"/>
                </w:tcPr>
                <w:p w14:paraId="50FBD12C">
                  <w:pPr>
                    <w:jc w:val="center"/>
                    <w:rPr>
                      <w:rFonts w:ascii="Times New Roman" w:hAnsi="Times New Roman" w:eastAsia="宋体" w:cs="Times New Roman"/>
                      <w:bCs/>
                      <w:color w:val="auto"/>
                      <w:szCs w:val="21"/>
                    </w:rPr>
                  </w:pPr>
                </w:p>
              </w:tc>
              <w:tc>
                <w:tcPr>
                  <w:tcW w:w="1962" w:type="dxa"/>
                  <w:vAlign w:val="center"/>
                </w:tcPr>
                <w:p w14:paraId="348DA4CC">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小计</w:t>
                  </w:r>
                </w:p>
              </w:tc>
              <w:tc>
                <w:tcPr>
                  <w:tcW w:w="1085" w:type="dxa"/>
                  <w:vAlign w:val="center"/>
                </w:tcPr>
                <w:p w14:paraId="60B434AB">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29.2</w:t>
                  </w:r>
                </w:p>
              </w:tc>
              <w:tc>
                <w:tcPr>
                  <w:tcW w:w="1085" w:type="dxa"/>
                  <w:vAlign w:val="center"/>
                </w:tcPr>
                <w:p w14:paraId="2513E461">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143.55</w:t>
                  </w:r>
                </w:p>
              </w:tc>
              <w:tc>
                <w:tcPr>
                  <w:tcW w:w="1085" w:type="dxa"/>
                  <w:vAlign w:val="center"/>
                </w:tcPr>
                <w:p w14:paraId="16500240">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46.1</w:t>
                  </w:r>
                </w:p>
              </w:tc>
              <w:tc>
                <w:tcPr>
                  <w:tcW w:w="1086" w:type="dxa"/>
                  <w:vAlign w:val="center"/>
                </w:tcPr>
                <w:p w14:paraId="429E1138">
                  <w:pPr>
                    <w:jc w:val="center"/>
                    <w:rPr>
                      <w:rFonts w:hint="eastAsia"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2.305</w:t>
                  </w:r>
                </w:p>
              </w:tc>
            </w:tr>
            <w:tr w14:paraId="52E0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2" w:type="dxa"/>
                  <w:gridSpan w:val="3"/>
                  <w:vAlign w:val="center"/>
                </w:tcPr>
                <w:p w14:paraId="0E6AD118">
                  <w:pPr>
                    <w:jc w:val="center"/>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合计</w:t>
                  </w:r>
                </w:p>
              </w:tc>
              <w:tc>
                <w:tcPr>
                  <w:tcW w:w="1085" w:type="dxa"/>
                  <w:vAlign w:val="center"/>
                </w:tcPr>
                <w:p w14:paraId="285A095B">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1608.2</w:t>
                  </w:r>
                </w:p>
              </w:tc>
              <w:tc>
                <w:tcPr>
                  <w:tcW w:w="1085" w:type="dxa"/>
                  <w:vAlign w:val="center"/>
                </w:tcPr>
                <w:p w14:paraId="2A54118F">
                  <w:pPr>
                    <w:jc w:val="center"/>
                    <w:rPr>
                      <w:rFonts w:hint="eastAsia"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7959.6</w:t>
                  </w:r>
                </w:p>
              </w:tc>
              <w:tc>
                <w:tcPr>
                  <w:tcW w:w="1085" w:type="dxa"/>
                  <w:vAlign w:val="center"/>
                </w:tcPr>
                <w:p w14:paraId="38E68BFB">
                  <w:pPr>
                    <w:jc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5642.1</w:t>
                  </w:r>
                </w:p>
              </w:tc>
              <w:tc>
                <w:tcPr>
                  <w:tcW w:w="1086" w:type="dxa"/>
                  <w:vAlign w:val="center"/>
                </w:tcPr>
                <w:p w14:paraId="23A15DB5">
                  <w:pPr>
                    <w:jc w:val="center"/>
                    <w:rPr>
                      <w:rFonts w:hint="eastAsia"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color w:val="auto"/>
                      <w:szCs w:val="21"/>
                      <w:lang w:val="en-US" w:eastAsia="zh-CN"/>
                    </w:rPr>
                    <w:t>282.105</w:t>
                  </w:r>
                </w:p>
              </w:tc>
            </w:tr>
          </w:tbl>
          <w:p w14:paraId="6F978C8F">
            <w:pPr>
              <w:pStyle w:val="36"/>
              <w:keepNext w:val="0"/>
              <w:keepLines w:val="0"/>
              <w:pageBreakBefore w:val="0"/>
              <w:widowControl w:val="0"/>
              <w:kinsoku/>
              <w:wordWrap/>
              <w:overflowPunct/>
              <w:topLinePunct w:val="0"/>
              <w:bidi w:val="0"/>
              <w:adjustRightInd/>
              <w:snapToGrid/>
              <w:spacing w:line="360" w:lineRule="auto"/>
              <w:textAlignment w:val="auto"/>
              <w:rPr>
                <w:rFonts w:hint="default" w:eastAsia="宋体"/>
                <w:color w:val="auto"/>
                <w:highlight w:val="none"/>
                <w:lang w:val="en-US" w:eastAsia="zh-CN"/>
              </w:rPr>
            </w:pPr>
            <w:r>
              <w:rPr>
                <w:rFonts w:hint="eastAsia"/>
                <w:color w:val="auto"/>
                <w:highlight w:val="none"/>
                <w:lang w:val="en-US" w:eastAsia="zh-CN"/>
              </w:rPr>
              <w:t>废钢铁占废旧汽车总质量的70-80%，主要来源于驾驶室、大梁、发动机、变速器、前后桥、制动器、车架等，本项目废旧汽车拆解后产生约7356t/a废钢铁。有色金属在汽车中所占比例不大，但利用价值却很高，本项目产生的废有色金属约533.75t/a。</w:t>
            </w:r>
          </w:p>
          <w:p w14:paraId="2CC98FC6">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5、</w:t>
            </w:r>
            <w:r>
              <w:rPr>
                <w:rFonts w:hint="default" w:ascii="Times New Roman" w:hAnsi="Times New Roman" w:eastAsia="宋体" w:cs="Times New Roman"/>
                <w:b/>
                <w:bCs/>
                <w:color w:val="auto"/>
                <w:kern w:val="44"/>
                <w:sz w:val="24"/>
                <w:szCs w:val="24"/>
                <w:highlight w:val="none"/>
                <w:lang w:val="en-US" w:eastAsia="zh-CN"/>
              </w:rPr>
              <w:t>总平面布置</w:t>
            </w:r>
          </w:p>
          <w:p w14:paraId="63D0E0F6">
            <w:pPr>
              <w:pStyle w:val="95"/>
              <w:keepNext w:val="0"/>
              <w:keepLines w:val="0"/>
              <w:pageBreakBefore w:val="0"/>
              <w:widowControl w:val="0"/>
              <w:shd w:val="clear" w:color="auto" w:fill="auto"/>
              <w:kinsoku/>
              <w:wordWrap/>
              <w:overflowPunct/>
              <w:topLinePunct w:val="0"/>
              <w:autoSpaceDE/>
              <w:autoSpaceDN/>
              <w:bidi w:val="0"/>
              <w:spacing w:before="0" w:after="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pacing w:val="0"/>
                <w:w w:val="100"/>
                <w:position w:val="0"/>
                <w:sz w:val="24"/>
                <w:szCs w:val="24"/>
              </w:rPr>
              <w:t>根据《</w:t>
            </w:r>
            <w:r>
              <w:rPr>
                <w:rFonts w:hint="eastAsia" w:ascii="Times New Roman" w:hAnsi="Times New Roman" w:eastAsia="宋体" w:cs="Times New Roman"/>
                <w:color w:val="000000"/>
                <w:spacing w:val="0"/>
                <w:w w:val="100"/>
                <w:position w:val="0"/>
                <w:sz w:val="24"/>
                <w:szCs w:val="24"/>
              </w:rPr>
              <w:t>报废机动车拆解企业污染控制技术规范</w:t>
            </w:r>
            <w:r>
              <w:rPr>
                <w:rFonts w:hint="default" w:ascii="Times New Roman" w:hAnsi="Times New Roman" w:eastAsia="宋体" w:cs="Times New Roman"/>
                <w:color w:val="000000"/>
                <w:spacing w:val="0"/>
                <w:w w:val="100"/>
                <w:position w:val="0"/>
                <w:sz w:val="24"/>
                <w:szCs w:val="24"/>
              </w:rPr>
              <w:t>》</w:t>
            </w:r>
            <w:r>
              <w:rPr>
                <w:rFonts w:hint="default" w:ascii="Times New Roman" w:hAnsi="Times New Roman" w:eastAsia="宋体" w:cs="Times New Roman"/>
                <w:color w:val="000000"/>
                <w:spacing w:val="0"/>
                <w:w w:val="100"/>
                <w:position w:val="0"/>
                <w:sz w:val="24"/>
                <w:szCs w:val="24"/>
                <w:lang w:val="en-US" w:eastAsia="en-US"/>
              </w:rPr>
              <w:t>（HJ 348-20</w:t>
            </w:r>
            <w:r>
              <w:rPr>
                <w:rFonts w:hint="eastAsia" w:ascii="Times New Roman" w:hAnsi="Times New Roman" w:cs="Times New Roman"/>
                <w:color w:val="000000"/>
                <w:spacing w:val="0"/>
                <w:w w:val="100"/>
                <w:position w:val="0"/>
                <w:sz w:val="24"/>
                <w:szCs w:val="24"/>
                <w:lang w:val="en-US" w:eastAsia="zh-CN"/>
              </w:rPr>
              <w:t>22</w:t>
            </w:r>
            <w:r>
              <w:rPr>
                <w:rFonts w:hint="default" w:ascii="Times New Roman" w:hAnsi="Times New Roman" w:eastAsia="宋体" w:cs="Times New Roman"/>
                <w:color w:val="000000"/>
                <w:spacing w:val="0"/>
                <w:w w:val="100"/>
                <w:position w:val="0"/>
                <w:sz w:val="24"/>
                <w:szCs w:val="24"/>
                <w:lang w:val="en-US" w:eastAsia="en-US"/>
              </w:rPr>
              <w:t>）</w:t>
            </w:r>
            <w:r>
              <w:rPr>
                <w:rFonts w:hint="default" w:ascii="Times New Roman" w:hAnsi="Times New Roman" w:eastAsia="宋体"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报废汽车拆解企业的厂区应划分为不同的功能区，包括管理区、未拆解的报废汽车贮存区、拆解破碎作业区、产品（半成品）贮存区、污染控制区（即各类废物的收集、贮存和处理区），各功能区的大小和分区应适合企业的设计拆解能力，各功能区应有明确的界线和明显的标识。</w:t>
            </w:r>
          </w:p>
          <w:p w14:paraId="108D387A">
            <w:pPr>
              <w:pStyle w:val="95"/>
              <w:keepNext w:val="0"/>
              <w:keepLines w:val="0"/>
              <w:pageBreakBefore w:val="0"/>
              <w:widowControl w:val="0"/>
              <w:shd w:val="clear" w:color="auto" w:fill="auto"/>
              <w:kinsoku/>
              <w:wordWrap/>
              <w:overflowPunct/>
              <w:topLinePunct w:val="0"/>
              <w:autoSpaceDE/>
              <w:autoSpaceDN/>
              <w:bidi w:val="0"/>
              <w:spacing w:before="0" w:after="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pacing w:val="0"/>
                <w:w w:val="100"/>
                <w:position w:val="0"/>
                <w:sz w:val="24"/>
                <w:szCs w:val="24"/>
              </w:rPr>
              <w:t>项目从厂区</w:t>
            </w:r>
            <w:r>
              <w:rPr>
                <w:rFonts w:hint="eastAsia" w:ascii="Times New Roman" w:hAnsi="Times New Roman" w:cs="Times New Roman"/>
                <w:color w:val="000000"/>
                <w:spacing w:val="0"/>
                <w:w w:val="100"/>
                <w:position w:val="0"/>
                <w:sz w:val="24"/>
                <w:szCs w:val="24"/>
                <w:lang w:val="en-US" w:eastAsia="zh-CN"/>
              </w:rPr>
              <w:t>北</w:t>
            </w:r>
            <w:r>
              <w:rPr>
                <w:rFonts w:hint="default" w:ascii="Times New Roman" w:hAnsi="Times New Roman" w:eastAsia="宋体" w:cs="Times New Roman"/>
                <w:color w:val="000000"/>
                <w:spacing w:val="0"/>
                <w:w w:val="100"/>
                <w:position w:val="0"/>
                <w:sz w:val="24"/>
                <w:szCs w:val="24"/>
              </w:rPr>
              <w:t>侧大门进入后，进入地磅区，进入</w:t>
            </w:r>
            <w:r>
              <w:rPr>
                <w:rFonts w:hint="eastAsia" w:ascii="Times New Roman" w:hAnsi="Times New Roman" w:cs="Times New Roman"/>
                <w:color w:val="000000"/>
                <w:spacing w:val="0"/>
                <w:w w:val="100"/>
                <w:position w:val="0"/>
                <w:sz w:val="24"/>
                <w:szCs w:val="24"/>
                <w:lang w:val="en-US" w:eastAsia="zh-CN"/>
              </w:rPr>
              <w:t>厂区</w:t>
            </w:r>
            <w:r>
              <w:rPr>
                <w:rFonts w:hint="default" w:ascii="Times New Roman" w:hAnsi="Times New Roman" w:eastAsia="宋体" w:cs="Times New Roman"/>
                <w:color w:val="000000"/>
                <w:spacing w:val="0"/>
                <w:w w:val="100"/>
                <w:position w:val="0"/>
                <w:sz w:val="24"/>
                <w:szCs w:val="24"/>
              </w:rPr>
              <w:t>在</w:t>
            </w:r>
            <w:r>
              <w:rPr>
                <w:rFonts w:hint="default" w:ascii="Times New Roman" w:hAnsi="Times New Roman" w:cs="Times New Roman"/>
                <w:color w:val="000000"/>
                <w:spacing w:val="0"/>
                <w:w w:val="100"/>
                <w:position w:val="0"/>
                <w:sz w:val="24"/>
                <w:szCs w:val="24"/>
                <w:lang w:val="en-US" w:eastAsia="zh-CN"/>
              </w:rPr>
              <w:t>车辆暂存区</w:t>
            </w:r>
            <w:r>
              <w:rPr>
                <w:rFonts w:hint="default" w:ascii="Times New Roman" w:hAnsi="Times New Roman" w:eastAsia="宋体" w:cs="Times New Roman"/>
                <w:color w:val="000000"/>
                <w:spacing w:val="0"/>
                <w:w w:val="100"/>
                <w:position w:val="0"/>
                <w:sz w:val="24"/>
                <w:szCs w:val="24"/>
              </w:rPr>
              <w:t>存放后，厂房从</w:t>
            </w:r>
            <w:r>
              <w:rPr>
                <w:rFonts w:hint="default" w:ascii="Times New Roman" w:hAnsi="Times New Roman" w:cs="Times New Roman"/>
                <w:color w:val="000000"/>
                <w:spacing w:val="0"/>
                <w:w w:val="100"/>
                <w:position w:val="0"/>
                <w:sz w:val="24"/>
                <w:szCs w:val="24"/>
                <w:lang w:val="en-US" w:eastAsia="zh-CN"/>
              </w:rPr>
              <w:t>北</w:t>
            </w:r>
            <w:r>
              <w:rPr>
                <w:rFonts w:hint="default" w:ascii="Times New Roman" w:hAnsi="Times New Roman" w:eastAsia="宋体" w:cs="Times New Roman"/>
                <w:color w:val="000000"/>
                <w:spacing w:val="0"/>
                <w:w w:val="100"/>
                <w:position w:val="0"/>
                <w:sz w:val="24"/>
                <w:szCs w:val="24"/>
              </w:rPr>
              <w:t>至</w:t>
            </w:r>
            <w:r>
              <w:rPr>
                <w:rFonts w:hint="default" w:ascii="Times New Roman" w:hAnsi="Times New Roman" w:cs="Times New Roman"/>
                <w:color w:val="000000"/>
                <w:spacing w:val="0"/>
                <w:w w:val="100"/>
                <w:position w:val="0"/>
                <w:sz w:val="24"/>
                <w:szCs w:val="24"/>
                <w:lang w:val="en-US" w:eastAsia="zh-CN"/>
              </w:rPr>
              <w:t>南</w:t>
            </w:r>
            <w:r>
              <w:rPr>
                <w:rFonts w:hint="default" w:ascii="Times New Roman" w:hAnsi="Times New Roman" w:eastAsia="宋体" w:cs="Times New Roman"/>
                <w:color w:val="000000"/>
                <w:spacing w:val="0"/>
                <w:w w:val="100"/>
                <w:position w:val="0"/>
                <w:sz w:val="24"/>
                <w:szCs w:val="24"/>
              </w:rPr>
              <w:t>依次布置为预处理区、废电动汽车电池拆卸专用区、拆解区和</w:t>
            </w:r>
            <w:r>
              <w:rPr>
                <w:rFonts w:hint="default" w:ascii="Times New Roman" w:hAnsi="Times New Roman" w:eastAsia="宋体" w:cs="Times New Roman"/>
                <w:color w:val="000000"/>
                <w:spacing w:val="0"/>
                <w:w w:val="100"/>
                <w:position w:val="0"/>
                <w:sz w:val="24"/>
                <w:szCs w:val="24"/>
                <w:lang w:val="en-US" w:eastAsia="zh-CN"/>
              </w:rPr>
              <w:t>破碎</w:t>
            </w:r>
            <w:r>
              <w:rPr>
                <w:rFonts w:hint="default" w:ascii="Times New Roman" w:hAnsi="Times New Roman" w:eastAsia="宋体" w:cs="Times New Roman"/>
                <w:color w:val="000000"/>
                <w:spacing w:val="0"/>
                <w:w w:val="100"/>
                <w:position w:val="0"/>
                <w:sz w:val="24"/>
                <w:szCs w:val="24"/>
              </w:rPr>
              <w:t>区，旧零件存放区位于车间的</w:t>
            </w:r>
            <w:r>
              <w:rPr>
                <w:rFonts w:hint="eastAsia" w:ascii="Times New Roman" w:hAnsi="Times New Roman" w:eastAsia="宋体" w:cs="Times New Roman"/>
                <w:color w:val="000000"/>
                <w:spacing w:val="0"/>
                <w:w w:val="100"/>
                <w:position w:val="0"/>
                <w:sz w:val="24"/>
                <w:szCs w:val="24"/>
                <w:lang w:val="en-US" w:eastAsia="zh-CN"/>
              </w:rPr>
              <w:t>东侧</w:t>
            </w:r>
            <w:r>
              <w:rPr>
                <w:rFonts w:hint="default" w:ascii="Times New Roman" w:hAnsi="Times New Roman" w:eastAsia="宋体" w:cs="Times New Roman"/>
                <w:color w:val="000000"/>
                <w:spacing w:val="0"/>
                <w:w w:val="100"/>
                <w:position w:val="0"/>
                <w:sz w:val="24"/>
                <w:szCs w:val="24"/>
              </w:rPr>
              <w:t>，拆卸一般固废暂存区包括为废金属库区、废橡胶库区、废塑料及玻璃库区，危废暂存</w:t>
            </w:r>
            <w:r>
              <w:rPr>
                <w:rFonts w:hint="eastAsia" w:ascii="Times New Roman" w:hAnsi="Times New Roman" w:cs="Times New Roman"/>
                <w:color w:val="000000"/>
                <w:spacing w:val="0"/>
                <w:w w:val="100"/>
                <w:position w:val="0"/>
                <w:sz w:val="24"/>
                <w:szCs w:val="24"/>
                <w:lang w:val="en-US" w:eastAsia="zh-CN"/>
              </w:rPr>
              <w:t>间</w:t>
            </w:r>
            <w:r>
              <w:rPr>
                <w:rFonts w:hint="default" w:ascii="Times New Roman" w:hAnsi="Times New Roman" w:eastAsia="宋体" w:cs="Times New Roman"/>
                <w:color w:val="000000"/>
                <w:spacing w:val="0"/>
                <w:w w:val="100"/>
                <w:position w:val="0"/>
                <w:sz w:val="24"/>
                <w:szCs w:val="24"/>
              </w:rPr>
              <w:t>和电池库位于车间内</w:t>
            </w:r>
            <w:r>
              <w:rPr>
                <w:rFonts w:hint="default" w:ascii="Times New Roman" w:hAnsi="Times New Roman" w:eastAsia="宋体" w:cs="Times New Roman"/>
                <w:color w:val="000000"/>
                <w:spacing w:val="0"/>
                <w:w w:val="100"/>
                <w:position w:val="0"/>
                <w:sz w:val="24"/>
                <w:szCs w:val="24"/>
                <w:lang w:val="en-US" w:eastAsia="zh-CN"/>
              </w:rPr>
              <w:t>东南</w:t>
            </w:r>
            <w:r>
              <w:rPr>
                <w:rFonts w:hint="default" w:ascii="Times New Roman" w:hAnsi="Times New Roman" w:eastAsia="宋体" w:cs="Times New Roman"/>
                <w:color w:val="000000"/>
                <w:spacing w:val="0"/>
                <w:w w:val="100"/>
                <w:position w:val="0"/>
                <w:sz w:val="24"/>
                <w:szCs w:val="24"/>
              </w:rPr>
              <w:t>侧，办公管理区位于厂区</w:t>
            </w:r>
            <w:r>
              <w:rPr>
                <w:rFonts w:hint="eastAsia" w:ascii="Times New Roman" w:hAnsi="Times New Roman" w:cs="Times New Roman"/>
                <w:color w:val="000000"/>
                <w:spacing w:val="0"/>
                <w:w w:val="100"/>
                <w:position w:val="0"/>
                <w:sz w:val="24"/>
                <w:szCs w:val="24"/>
                <w:lang w:val="en-US" w:eastAsia="zh-CN"/>
              </w:rPr>
              <w:t>东北</w:t>
            </w:r>
            <w:r>
              <w:rPr>
                <w:rFonts w:hint="default" w:ascii="Times New Roman" w:hAnsi="Times New Roman" w:eastAsia="宋体" w:cs="Times New Roman"/>
                <w:color w:val="000000"/>
                <w:spacing w:val="0"/>
                <w:w w:val="100"/>
                <w:position w:val="0"/>
                <w:sz w:val="24"/>
                <w:szCs w:val="24"/>
              </w:rPr>
              <w:t>侧，项目功能分区明确；建筑布置做到物流通畅，满足生产工艺及安全和消防的要求，布局符合《</w:t>
            </w:r>
            <w:r>
              <w:rPr>
                <w:rFonts w:hint="eastAsia" w:ascii="Times New Roman" w:hAnsi="Times New Roman" w:eastAsia="宋体" w:cs="Times New Roman"/>
                <w:color w:val="000000"/>
                <w:spacing w:val="0"/>
                <w:w w:val="100"/>
                <w:position w:val="0"/>
                <w:sz w:val="24"/>
                <w:szCs w:val="24"/>
              </w:rPr>
              <w:t>报废机动车拆解企业污染控制技术规范</w:t>
            </w:r>
            <w:r>
              <w:rPr>
                <w:rFonts w:hint="default" w:ascii="Times New Roman" w:hAnsi="Times New Roman" w:eastAsia="宋体" w:cs="Times New Roman"/>
                <w:color w:val="000000"/>
                <w:spacing w:val="0"/>
                <w:w w:val="100"/>
                <w:position w:val="0"/>
                <w:sz w:val="24"/>
                <w:szCs w:val="24"/>
              </w:rPr>
              <w:t>》</w:t>
            </w:r>
            <w:r>
              <w:rPr>
                <w:rFonts w:hint="default" w:ascii="Times New Roman" w:hAnsi="Times New Roman" w:eastAsia="宋体" w:cs="Times New Roman"/>
                <w:color w:val="000000"/>
                <w:spacing w:val="0"/>
                <w:w w:val="100"/>
                <w:position w:val="0"/>
                <w:sz w:val="24"/>
                <w:szCs w:val="24"/>
                <w:lang w:val="en-US" w:eastAsia="en-US"/>
              </w:rPr>
              <w:t>（HJ 348-20</w:t>
            </w:r>
            <w:r>
              <w:rPr>
                <w:rFonts w:hint="eastAsia" w:ascii="Times New Roman" w:hAnsi="Times New Roman" w:cs="Times New Roman"/>
                <w:color w:val="000000"/>
                <w:spacing w:val="0"/>
                <w:w w:val="100"/>
                <w:position w:val="0"/>
                <w:sz w:val="24"/>
                <w:szCs w:val="24"/>
                <w:lang w:val="en-US" w:eastAsia="zh-CN"/>
              </w:rPr>
              <w:t>22</w:t>
            </w:r>
            <w:r>
              <w:rPr>
                <w:rFonts w:hint="default" w:ascii="Times New Roman" w:hAnsi="Times New Roman" w:eastAsia="宋体" w:cs="Times New Roman"/>
                <w:color w:val="000000"/>
                <w:spacing w:val="0"/>
                <w:w w:val="100"/>
                <w:position w:val="0"/>
                <w:sz w:val="24"/>
                <w:szCs w:val="24"/>
                <w:lang w:val="en-US" w:eastAsia="en-US"/>
              </w:rPr>
              <w:t>）</w:t>
            </w:r>
            <w:r>
              <w:rPr>
                <w:rFonts w:hint="default" w:ascii="Times New Roman" w:hAnsi="Times New Roman" w:eastAsia="宋体" w:cs="Times New Roman"/>
                <w:color w:val="000000"/>
                <w:spacing w:val="0"/>
                <w:w w:val="100"/>
                <w:position w:val="0"/>
                <w:sz w:val="24"/>
                <w:szCs w:val="24"/>
              </w:rPr>
              <w:t>和《报废机动车回收拆解企业技术规范》</w:t>
            </w:r>
            <w:r>
              <w:rPr>
                <w:rFonts w:hint="default" w:ascii="Times New Roman" w:hAnsi="Times New Roman" w:eastAsia="宋体" w:cs="Times New Roman"/>
                <w:color w:val="000000"/>
                <w:spacing w:val="0"/>
                <w:w w:val="100"/>
                <w:position w:val="0"/>
                <w:sz w:val="24"/>
                <w:szCs w:val="24"/>
                <w:lang w:val="en-US" w:eastAsia="en-US" w:bidi="en-US"/>
              </w:rPr>
              <w:t>（GB22128-2019</w:t>
            </w:r>
            <w:r>
              <w:rPr>
                <w:rFonts w:hint="default" w:ascii="Times New Roman" w:hAnsi="Times New Roman" w:eastAsia="宋体" w:cs="Times New Roman"/>
                <w:color w:val="000000"/>
                <w:spacing w:val="0"/>
                <w:w w:val="100"/>
                <w:position w:val="0"/>
                <w:sz w:val="24"/>
                <w:szCs w:val="24"/>
              </w:rPr>
              <w:t>）的要求，总体布局较为合理。</w:t>
            </w:r>
          </w:p>
          <w:p w14:paraId="3F94B370">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建设项目设置1个厂区总出入口，位于厂区的</w:t>
            </w:r>
            <w:r>
              <w:rPr>
                <w:rFonts w:hint="eastAsia" w:cs="Times New Roman"/>
                <w:color w:val="000000"/>
                <w:sz w:val="24"/>
                <w:lang w:val="en-US" w:eastAsia="zh-CN"/>
              </w:rPr>
              <w:t>北</w:t>
            </w:r>
            <w:r>
              <w:rPr>
                <w:rFonts w:hint="default" w:ascii="Times New Roman" w:hAnsi="Times New Roman" w:eastAsia="宋体" w:cs="Times New Roman"/>
                <w:color w:val="000000"/>
                <w:sz w:val="24"/>
              </w:rPr>
              <w:t>侧，临近</w:t>
            </w:r>
            <w:r>
              <w:rPr>
                <w:rFonts w:hint="eastAsia" w:cs="Times New Roman"/>
                <w:color w:val="000000"/>
                <w:sz w:val="24"/>
                <w:lang w:val="en-US" w:eastAsia="zh-CN"/>
              </w:rPr>
              <w:t>创新北</w:t>
            </w:r>
            <w:r>
              <w:rPr>
                <w:rFonts w:hint="default" w:ascii="Times New Roman" w:hAnsi="Times New Roman" w:eastAsia="宋体" w:cs="Times New Roman"/>
                <w:color w:val="000000"/>
                <w:sz w:val="24"/>
                <w:lang w:val="en-US" w:eastAsia="zh-CN"/>
              </w:rPr>
              <w:t>路</w:t>
            </w:r>
            <w:r>
              <w:rPr>
                <w:rFonts w:hint="default" w:ascii="Times New Roman" w:hAnsi="Times New Roman" w:eastAsia="宋体" w:cs="Times New Roman"/>
                <w:color w:val="000000"/>
                <w:sz w:val="24"/>
              </w:rPr>
              <w:t>，具体布置见附图</w:t>
            </w:r>
            <w:r>
              <w:rPr>
                <w:rFonts w:hint="eastAsia" w:cs="Times New Roman"/>
                <w:color w:val="000000"/>
                <w:sz w:val="24"/>
                <w:lang w:val="en-US" w:eastAsia="zh-CN"/>
              </w:rPr>
              <w:t>3</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建设项目总平面布置图。</w:t>
            </w:r>
          </w:p>
          <w:p w14:paraId="7D8A41F4">
            <w:pPr>
              <w:adjustRightInd w:val="0"/>
              <w:snapToGrid w:val="0"/>
              <w:spacing w:line="360" w:lineRule="auto"/>
              <w:ind w:firstLine="482" w:firstLineChars="200"/>
              <w:rPr>
                <w:rFonts w:hint="default" w:ascii="Times New Roman" w:hAnsi="Times New Roman" w:eastAsia="宋体" w:cs="Times New Roman"/>
                <w:b/>
                <w:color w:val="000000"/>
                <w:sz w:val="24"/>
              </w:rPr>
            </w:pPr>
            <w:r>
              <w:rPr>
                <w:rFonts w:hint="default" w:ascii="Times New Roman" w:hAnsi="Times New Roman" w:eastAsia="宋体" w:cs="Times New Roman"/>
                <w:b/>
                <w:color w:val="000000"/>
                <w:sz w:val="24"/>
              </w:rPr>
              <w:t>总平面布置环境合理性分析：</w:t>
            </w:r>
          </w:p>
          <w:p w14:paraId="0E60733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rPr>
              <w:t>本项目生产厂房平面布置以最佳的生产流程（物流、人流、信息流、能源流）和生产工艺工程进行设计，整体布置上强调物流的合理，减少物流的返回、交叉、往返等无效搬运；减少库存和再制品，缩短物料的停滞和等待；选用适当装卸搬运方式和机具。总体布置按照用地集约、紧凑，功能分区合理，工艺流线顺畅，运输线路短捷原则。建筑物布置结合用地形状，充分考虑日照、通风、消防要求，同时和周边环境相协调。总平面布置时，严格遵循《建筑防火</w:t>
            </w:r>
            <w:r>
              <w:rPr>
                <w:rFonts w:hint="default" w:ascii="Times New Roman" w:hAnsi="Times New Roman" w:eastAsia="宋体" w:cs="Times New Roman"/>
                <w:color w:val="000000"/>
                <w:sz w:val="24"/>
                <w:lang w:val="en-US" w:eastAsia="zh-CN"/>
              </w:rPr>
              <w:t>通用</w:t>
            </w:r>
            <w:r>
              <w:rPr>
                <w:rFonts w:hint="default" w:ascii="Times New Roman" w:hAnsi="Times New Roman" w:eastAsia="宋体" w:cs="Times New Roman"/>
                <w:color w:val="000000"/>
                <w:sz w:val="24"/>
              </w:rPr>
              <w:t>规范》（GB50016-</w:t>
            </w:r>
            <w:r>
              <w:rPr>
                <w:rStyle w:val="33"/>
                <w:rFonts w:hint="default" w:ascii="Times New Roman" w:hAnsi="Times New Roman" w:eastAsia="宋体" w:cs="Times New Roman"/>
                <w:color w:val="000000"/>
                <w:sz w:val="24"/>
              </w:rPr>
              <w:t>20</w:t>
            </w:r>
            <w:r>
              <w:rPr>
                <w:rStyle w:val="33"/>
                <w:rFonts w:hint="default" w:ascii="Times New Roman" w:hAnsi="Times New Roman" w:eastAsia="宋体" w:cs="Times New Roman"/>
                <w:color w:val="000000"/>
                <w:sz w:val="24"/>
                <w:lang w:val="en-US" w:eastAsia="zh-CN"/>
              </w:rPr>
              <w:t>22</w:t>
            </w:r>
            <w:r>
              <w:rPr>
                <w:rFonts w:hint="default" w:ascii="Times New Roman" w:hAnsi="Times New Roman" w:eastAsia="宋体" w:cs="Times New Roman"/>
                <w:color w:val="000000"/>
                <w:sz w:val="24"/>
              </w:rPr>
              <w:t>）中有关规定要求。本项目</w:t>
            </w:r>
            <w:r>
              <w:rPr>
                <w:rFonts w:hint="eastAsia" w:cs="Times New Roman"/>
                <w:color w:val="000000"/>
                <w:sz w:val="24"/>
                <w:lang w:val="en-US" w:eastAsia="zh-CN"/>
              </w:rPr>
              <w:t>厂界500m</w:t>
            </w:r>
            <w:r>
              <w:rPr>
                <w:rFonts w:hint="default" w:ascii="Times New Roman" w:hAnsi="Times New Roman" w:eastAsia="宋体" w:cs="Times New Roman"/>
                <w:color w:val="000000"/>
                <w:sz w:val="24"/>
              </w:rPr>
              <w:t>范围内主要为工业企业及工业空地，无医院、学校和居住区等环境敏感点，从环境合理性角度分析，本项目厂区平面布置是合理可行的。</w:t>
            </w:r>
          </w:p>
          <w:p w14:paraId="19BBBB72">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6、公用设施</w:t>
            </w:r>
          </w:p>
          <w:p w14:paraId="316A7CA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（1）给水</w:t>
            </w:r>
          </w:p>
          <w:p w14:paraId="2633718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供水系统：给水水源接自城市的自来水管网。进厂管径为DN150，生产、生活水压由市政管网0.15Mpa水压保证；消防水量和水压由消防水池及消防加压泵保证。</w:t>
            </w:r>
          </w:p>
          <w:p w14:paraId="3439E75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生产用水给排水</w:t>
            </w:r>
          </w:p>
          <w:p w14:paraId="4B0703C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项目运营期不对拟拆解车辆及零件进行冲洗，生产用水主要为拆解车间地面冲洗水：根据建设单位提供资料，车间地面冲洗为3L/m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·次，每周冲洗一次。本项目拆解场地面积为1490m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，则用水量为4.47m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/次，187.74m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/a（按42次/a计算）；废水产生系数取0.9，则废水产生量为168.97m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/a，废水经厂区内</w:t>
            </w:r>
            <w:r>
              <w:rPr>
                <w:rFonts w:hint="eastAsia" w:cs="Times New Roman"/>
                <w:color w:val="auto"/>
                <w:kern w:val="2"/>
                <w:sz w:val="24"/>
                <w:szCs w:val="24"/>
                <w:highlight w:val="none"/>
                <w:lang w:val="en-US" w:eastAsia="zh-CN" w:bidi="ar-SA"/>
              </w:rPr>
              <w:t>油水分离器处理后</w:t>
            </w:r>
            <w:r>
              <w:rPr>
                <w:rFonts w:hint="eastAsia" w:ascii="Times New Roman" w:hAnsi="Times New Roman" w:eastAsia="宋体" w:cs="Times New Roman"/>
                <w:color w:val="auto"/>
                <w:kern w:val="2"/>
                <w:sz w:val="24"/>
                <w:szCs w:val="24"/>
                <w:highlight w:val="none"/>
                <w:lang w:val="en-US" w:eastAsia="zh-CN" w:bidi="ar-SA"/>
              </w:rPr>
              <w:t>排至68团污水处理厂。</w:t>
            </w:r>
          </w:p>
          <w:p w14:paraId="13C5914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生活用水给排水</w:t>
            </w:r>
          </w:p>
          <w:p w14:paraId="0B6117A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本项目工作人员7人，年工作300天，用水定额根据《新疆维吾尔自治区生活用水定额》确定为50-60L/人·日，本项目生活用水定为60L/人·日，则生活用水量为0.42m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/d（126m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/a），排污系数取为0.8，则废水产生量为0.336m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/d（100.8m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/a）。主要污染物为COD</w:t>
            </w:r>
            <w:r>
              <w:rPr>
                <w:rFonts w:hint="eastAsia" w:ascii="Times New Roman" w:hAnsi="Times New Roman" w:eastAsia="宋体" w:cs="Times New Roman"/>
                <w:color w:val="auto"/>
                <w:kern w:val="2"/>
                <w:sz w:val="24"/>
                <w:szCs w:val="24"/>
                <w:highlight w:val="none"/>
                <w:vertAlign w:val="subscript"/>
                <w:lang w:val="en-US" w:eastAsia="zh-CN" w:bidi="ar-SA"/>
              </w:rPr>
              <w:t>Cr</w:t>
            </w:r>
            <w:r>
              <w:rPr>
                <w:rFonts w:hint="eastAsia" w:ascii="Times New Roman" w:hAnsi="Times New Roman" w:eastAsia="宋体" w:cs="Times New Roman"/>
                <w:color w:val="auto"/>
                <w:kern w:val="2"/>
                <w:sz w:val="24"/>
                <w:szCs w:val="24"/>
                <w:highlight w:val="none"/>
                <w:lang w:val="en-US" w:eastAsia="zh-CN" w:bidi="ar-SA"/>
              </w:rPr>
              <w:t>，BOD</w:t>
            </w:r>
            <w:r>
              <w:rPr>
                <w:rFonts w:hint="eastAsia"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、SS、氨氮，通过厂区内排水管网排至68团污水处理厂。</w:t>
            </w:r>
          </w:p>
          <w:p w14:paraId="26D96B2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（2）排水</w:t>
            </w:r>
          </w:p>
          <w:p w14:paraId="44F6212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ascii="宋体" w:hAnsi="宋体" w:eastAsia="宋体" w:cs="宋体"/>
                <w:sz w:val="24"/>
                <w:szCs w:val="24"/>
              </w:rPr>
              <w:t>厂内排水采用雨、污分流制。雨水直接进入雨水管网，外排废水达到</w:t>
            </w:r>
            <w:r>
              <w:rPr>
                <w:rFonts w:hint="eastAsia" w:ascii="宋体" w:hAnsi="宋体" w:eastAsia="宋体" w:cs="宋体"/>
                <w:sz w:val="24"/>
                <w:szCs w:val="24"/>
                <w:lang w:val="en-US" w:eastAsia="zh-CN"/>
              </w:rPr>
              <w:t>68团</w:t>
            </w:r>
            <w:r>
              <w:rPr>
                <w:rFonts w:ascii="宋体" w:hAnsi="宋体" w:eastAsia="宋体" w:cs="宋体"/>
                <w:sz w:val="24"/>
                <w:szCs w:val="24"/>
              </w:rPr>
              <w:t>污水处理厂接管标准，经</w:t>
            </w:r>
            <w:r>
              <w:rPr>
                <w:rFonts w:hint="eastAsia" w:ascii="宋体" w:hAnsi="宋体" w:eastAsia="宋体" w:cs="宋体"/>
                <w:sz w:val="24"/>
                <w:szCs w:val="24"/>
                <w:lang w:val="en-US" w:eastAsia="zh-CN"/>
              </w:rPr>
              <w:t>68团</w:t>
            </w:r>
            <w:r>
              <w:rPr>
                <w:rFonts w:ascii="宋体" w:hAnsi="宋体" w:eastAsia="宋体" w:cs="宋体"/>
                <w:sz w:val="24"/>
                <w:szCs w:val="24"/>
              </w:rPr>
              <w:t>污水处理厂处理达到</w:t>
            </w:r>
            <w:r>
              <w:rPr>
                <w:rFonts w:hint="default" w:ascii="宋体" w:hAnsi="宋体" w:eastAsia="宋体" w:cs="宋体"/>
                <w:sz w:val="24"/>
                <w:szCs w:val="24"/>
                <w:lang w:val="en-US" w:eastAsia="zh-CN"/>
              </w:rPr>
              <w:t>《城镇污水处理厂污染物排放标准》（GB18918-2002）中的一级A标准</w:t>
            </w:r>
            <w:r>
              <w:rPr>
                <w:rFonts w:ascii="宋体" w:hAnsi="宋体" w:eastAsia="宋体" w:cs="宋体"/>
                <w:sz w:val="24"/>
                <w:szCs w:val="24"/>
              </w:rPr>
              <w:t>。</w:t>
            </w:r>
          </w:p>
          <w:p w14:paraId="5EAFB70E">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表2-6                   项目废水排放一览表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160"/>
              <w:gridCol w:w="931"/>
              <w:gridCol w:w="930"/>
              <w:gridCol w:w="930"/>
              <w:gridCol w:w="930"/>
              <w:gridCol w:w="930"/>
              <w:gridCol w:w="933"/>
              <w:gridCol w:w="933"/>
            </w:tblGrid>
            <w:tr w14:paraId="50D6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gridSpan w:val="2"/>
                  <w:vMerge w:val="restart"/>
                  <w:vAlign w:val="center"/>
                </w:tcPr>
                <w:p w14:paraId="6FA7357E">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项目</w:t>
                  </w:r>
                </w:p>
              </w:tc>
              <w:tc>
                <w:tcPr>
                  <w:tcW w:w="540" w:type="pct"/>
                  <w:vMerge w:val="restart"/>
                  <w:vAlign w:val="center"/>
                </w:tcPr>
                <w:p w14:paraId="1E834BFA">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用水指标</w:t>
                  </w:r>
                </w:p>
              </w:tc>
              <w:tc>
                <w:tcPr>
                  <w:tcW w:w="1080" w:type="pct"/>
                  <w:gridSpan w:val="2"/>
                  <w:vAlign w:val="center"/>
                </w:tcPr>
                <w:p w14:paraId="37A44CE3">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新鲜用水量</w:t>
                  </w:r>
                </w:p>
              </w:tc>
              <w:tc>
                <w:tcPr>
                  <w:tcW w:w="1080" w:type="pct"/>
                  <w:gridSpan w:val="2"/>
                  <w:vAlign w:val="center"/>
                </w:tcPr>
                <w:p w14:paraId="3D3455A4">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排水量</w:t>
                  </w:r>
                </w:p>
              </w:tc>
              <w:tc>
                <w:tcPr>
                  <w:tcW w:w="1084" w:type="pct"/>
                  <w:gridSpan w:val="2"/>
                  <w:vAlign w:val="center"/>
                </w:tcPr>
                <w:p w14:paraId="76C09386">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损耗</w:t>
                  </w:r>
                </w:p>
              </w:tc>
            </w:tr>
            <w:tr w14:paraId="2316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3" w:type="pct"/>
                  <w:gridSpan w:val="2"/>
                  <w:vMerge w:val="continue"/>
                  <w:vAlign w:val="center"/>
                </w:tcPr>
                <w:p w14:paraId="76BE0279">
                  <w:pPr>
                    <w:jc w:val="center"/>
                    <w:rPr>
                      <w:rFonts w:hint="default" w:ascii="Times New Roman" w:hAnsi="Times New Roman" w:eastAsia="宋体" w:cs="Times New Roman"/>
                      <w:bCs/>
                      <w:color w:val="auto"/>
                      <w:szCs w:val="21"/>
                      <w:lang w:val="en-US" w:eastAsia="zh-CN"/>
                    </w:rPr>
                  </w:pPr>
                </w:p>
              </w:tc>
              <w:tc>
                <w:tcPr>
                  <w:tcW w:w="540" w:type="pct"/>
                  <w:vMerge w:val="continue"/>
                  <w:vAlign w:val="center"/>
                </w:tcPr>
                <w:p w14:paraId="3612FD93">
                  <w:pPr>
                    <w:jc w:val="center"/>
                    <w:rPr>
                      <w:rFonts w:hint="default" w:ascii="Times New Roman" w:hAnsi="Times New Roman" w:eastAsia="宋体" w:cs="Times New Roman"/>
                      <w:bCs/>
                      <w:color w:val="auto"/>
                      <w:szCs w:val="21"/>
                      <w:lang w:val="en-US" w:eastAsia="zh-CN"/>
                    </w:rPr>
                  </w:pPr>
                </w:p>
              </w:tc>
              <w:tc>
                <w:tcPr>
                  <w:tcW w:w="540" w:type="pct"/>
                  <w:vAlign w:val="center"/>
                </w:tcPr>
                <w:p w14:paraId="3CA0C59A">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/d</w:t>
                  </w:r>
                </w:p>
              </w:tc>
              <w:tc>
                <w:tcPr>
                  <w:tcW w:w="540" w:type="pct"/>
                  <w:vAlign w:val="center"/>
                </w:tcPr>
                <w:p w14:paraId="548281EB">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/a</w:t>
                  </w:r>
                </w:p>
              </w:tc>
              <w:tc>
                <w:tcPr>
                  <w:tcW w:w="540" w:type="pct"/>
                  <w:vAlign w:val="center"/>
                </w:tcPr>
                <w:p w14:paraId="009D50D4">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/d</w:t>
                  </w:r>
                </w:p>
              </w:tc>
              <w:tc>
                <w:tcPr>
                  <w:tcW w:w="540" w:type="pct"/>
                  <w:vAlign w:val="center"/>
                </w:tcPr>
                <w:p w14:paraId="74999E9D">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/a</w:t>
                  </w:r>
                </w:p>
              </w:tc>
              <w:tc>
                <w:tcPr>
                  <w:tcW w:w="542" w:type="pct"/>
                  <w:vAlign w:val="center"/>
                </w:tcPr>
                <w:p w14:paraId="2BE5D232">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/d</w:t>
                  </w:r>
                </w:p>
              </w:tc>
              <w:tc>
                <w:tcPr>
                  <w:tcW w:w="542" w:type="pct"/>
                  <w:vAlign w:val="center"/>
                </w:tcPr>
                <w:p w14:paraId="2D9F1939">
                  <w:pPr>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m</w:t>
                  </w:r>
                  <w:r>
                    <w:rPr>
                      <w:rFonts w:hint="eastAsia" w:cs="Times New Roman"/>
                      <w:bCs/>
                      <w:color w:val="auto"/>
                      <w:szCs w:val="21"/>
                      <w:vertAlign w:val="superscript"/>
                      <w:lang w:val="en-US" w:eastAsia="zh-CN"/>
                    </w:rPr>
                    <w:t>3</w:t>
                  </w:r>
                  <w:r>
                    <w:rPr>
                      <w:rFonts w:hint="eastAsia" w:cs="Times New Roman"/>
                      <w:bCs/>
                      <w:color w:val="auto"/>
                      <w:szCs w:val="21"/>
                      <w:lang w:val="en-US" w:eastAsia="zh-CN"/>
                    </w:rPr>
                    <w:t>/a</w:t>
                  </w:r>
                </w:p>
              </w:tc>
            </w:tr>
            <w:tr w14:paraId="3E53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shd w:val="clear" w:color="auto" w:fill="auto"/>
                  <w:vAlign w:val="center"/>
                </w:tcPr>
                <w:p w14:paraId="2620AB58">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生活用水</w:t>
                  </w:r>
                </w:p>
              </w:tc>
              <w:tc>
                <w:tcPr>
                  <w:tcW w:w="674" w:type="pct"/>
                  <w:shd w:val="clear" w:color="auto" w:fill="auto"/>
                  <w:vAlign w:val="center"/>
                </w:tcPr>
                <w:p w14:paraId="7C10F54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60L/人·日</w:t>
                  </w:r>
                </w:p>
              </w:tc>
              <w:tc>
                <w:tcPr>
                  <w:tcW w:w="540" w:type="pct"/>
                  <w:shd w:val="clear" w:color="auto" w:fill="auto"/>
                  <w:vAlign w:val="center"/>
                </w:tcPr>
                <w:p w14:paraId="393AE6B2">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300d</w:t>
                  </w:r>
                </w:p>
              </w:tc>
              <w:tc>
                <w:tcPr>
                  <w:tcW w:w="540" w:type="pct"/>
                  <w:vAlign w:val="center"/>
                </w:tcPr>
                <w:p w14:paraId="4A8F09F0">
                  <w:pPr>
                    <w:jc w:val="center"/>
                    <w:rPr>
                      <w:rFonts w:hint="default" w:cs="Times New Roman"/>
                      <w:bCs/>
                      <w:color w:val="auto"/>
                      <w:szCs w:val="21"/>
                      <w:lang w:val="en-US" w:eastAsia="zh-CN"/>
                    </w:rPr>
                  </w:pPr>
                  <w:r>
                    <w:rPr>
                      <w:rFonts w:hint="default" w:cs="Times New Roman"/>
                      <w:bCs/>
                      <w:color w:val="auto"/>
                      <w:szCs w:val="21"/>
                      <w:lang w:val="en-US" w:eastAsia="zh-CN"/>
                    </w:rPr>
                    <w:t>0.42</w:t>
                  </w:r>
                </w:p>
              </w:tc>
              <w:tc>
                <w:tcPr>
                  <w:tcW w:w="540" w:type="pct"/>
                  <w:vAlign w:val="center"/>
                </w:tcPr>
                <w:p w14:paraId="0B9D08F3">
                  <w:pPr>
                    <w:jc w:val="center"/>
                    <w:rPr>
                      <w:rFonts w:hint="default" w:cs="Times New Roman"/>
                      <w:bCs/>
                      <w:color w:val="auto"/>
                      <w:szCs w:val="21"/>
                      <w:lang w:val="en-US" w:eastAsia="zh-CN"/>
                    </w:rPr>
                  </w:pPr>
                  <w:r>
                    <w:rPr>
                      <w:rFonts w:hint="default" w:cs="Times New Roman"/>
                      <w:bCs/>
                      <w:color w:val="auto"/>
                      <w:szCs w:val="21"/>
                      <w:lang w:val="en-US" w:eastAsia="zh-CN"/>
                    </w:rPr>
                    <w:t>126</w:t>
                  </w:r>
                </w:p>
              </w:tc>
              <w:tc>
                <w:tcPr>
                  <w:tcW w:w="540" w:type="pct"/>
                  <w:vAlign w:val="center"/>
                </w:tcPr>
                <w:p w14:paraId="7FD06087">
                  <w:pPr>
                    <w:jc w:val="center"/>
                    <w:rPr>
                      <w:rFonts w:hint="default" w:cs="Times New Roman"/>
                      <w:bCs/>
                      <w:color w:val="auto"/>
                      <w:szCs w:val="21"/>
                      <w:lang w:val="en-US" w:eastAsia="zh-CN"/>
                    </w:rPr>
                  </w:pPr>
                  <w:r>
                    <w:rPr>
                      <w:rFonts w:hint="default" w:cs="Times New Roman"/>
                      <w:bCs/>
                      <w:color w:val="auto"/>
                      <w:szCs w:val="21"/>
                      <w:lang w:val="en-US" w:eastAsia="zh-CN"/>
                    </w:rPr>
                    <w:t>0.336</w:t>
                  </w:r>
                </w:p>
              </w:tc>
              <w:tc>
                <w:tcPr>
                  <w:tcW w:w="540" w:type="pct"/>
                  <w:vAlign w:val="center"/>
                </w:tcPr>
                <w:p w14:paraId="0284CE01">
                  <w:pPr>
                    <w:jc w:val="center"/>
                    <w:rPr>
                      <w:rFonts w:hint="default" w:cs="Times New Roman"/>
                      <w:bCs/>
                      <w:color w:val="auto"/>
                      <w:szCs w:val="21"/>
                      <w:lang w:val="en-US" w:eastAsia="zh-CN"/>
                    </w:rPr>
                  </w:pPr>
                  <w:r>
                    <w:rPr>
                      <w:rFonts w:hint="default" w:cs="Times New Roman"/>
                      <w:bCs/>
                      <w:color w:val="auto"/>
                      <w:szCs w:val="21"/>
                      <w:lang w:val="en-US" w:eastAsia="zh-CN"/>
                    </w:rPr>
                    <w:t>100.8</w:t>
                  </w:r>
                </w:p>
              </w:tc>
              <w:tc>
                <w:tcPr>
                  <w:tcW w:w="542" w:type="pct"/>
                  <w:vAlign w:val="center"/>
                </w:tcPr>
                <w:p w14:paraId="59F07A17">
                  <w:pPr>
                    <w:jc w:val="center"/>
                    <w:rPr>
                      <w:rFonts w:hint="default" w:cs="Times New Roman"/>
                      <w:bCs/>
                      <w:color w:val="auto"/>
                      <w:szCs w:val="21"/>
                      <w:lang w:val="en-US" w:eastAsia="zh-CN"/>
                    </w:rPr>
                  </w:pPr>
                  <w:r>
                    <w:rPr>
                      <w:rFonts w:hint="default" w:cs="Times New Roman"/>
                      <w:bCs/>
                      <w:color w:val="auto"/>
                      <w:szCs w:val="21"/>
                      <w:lang w:val="en-US" w:eastAsia="zh-CN"/>
                    </w:rPr>
                    <w:t>0.084</w:t>
                  </w:r>
                </w:p>
              </w:tc>
              <w:tc>
                <w:tcPr>
                  <w:tcW w:w="542" w:type="pct"/>
                  <w:vAlign w:val="center"/>
                </w:tcPr>
                <w:p w14:paraId="66863FF6">
                  <w:pPr>
                    <w:jc w:val="center"/>
                    <w:rPr>
                      <w:rFonts w:hint="default" w:cs="Times New Roman"/>
                      <w:bCs/>
                      <w:color w:val="auto"/>
                      <w:szCs w:val="21"/>
                      <w:lang w:val="en-US" w:eastAsia="zh-CN"/>
                    </w:rPr>
                  </w:pPr>
                  <w:r>
                    <w:rPr>
                      <w:rFonts w:hint="default" w:cs="Times New Roman"/>
                      <w:bCs/>
                      <w:color w:val="auto"/>
                      <w:szCs w:val="21"/>
                      <w:lang w:val="en-US" w:eastAsia="zh-CN"/>
                    </w:rPr>
                    <w:t>25.2</w:t>
                  </w:r>
                </w:p>
              </w:tc>
            </w:tr>
            <w:tr w14:paraId="4F23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9" w:type="pct"/>
                  <w:shd w:val="clear" w:color="auto" w:fill="auto"/>
                  <w:vAlign w:val="center"/>
                </w:tcPr>
                <w:p w14:paraId="04A6E6AE">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车间地面冲洗水</w:t>
                  </w:r>
                </w:p>
              </w:tc>
              <w:tc>
                <w:tcPr>
                  <w:tcW w:w="674" w:type="pct"/>
                  <w:shd w:val="clear" w:color="auto" w:fill="auto"/>
                  <w:vAlign w:val="center"/>
                </w:tcPr>
                <w:p w14:paraId="4CD87E2D">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3L/m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·次</w:t>
                  </w:r>
                </w:p>
              </w:tc>
              <w:tc>
                <w:tcPr>
                  <w:tcW w:w="540" w:type="pct"/>
                  <w:shd w:val="clear" w:color="auto" w:fill="auto"/>
                  <w:vAlign w:val="center"/>
                </w:tcPr>
                <w:p w14:paraId="2E959629">
                  <w:pPr>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1490</w:t>
                  </w:r>
                  <w:r>
                    <w:rPr>
                      <w:rFonts w:hint="eastAsia"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eastAsia="宋体" w:cs="Times New Roman"/>
                      <w:color w:val="auto"/>
                      <w:kern w:val="2"/>
                      <w:sz w:val="21"/>
                      <w:szCs w:val="21"/>
                      <w:highlight w:val="none"/>
                      <w:vertAlign w:val="superscript"/>
                      <w:lang w:val="en-US" w:eastAsia="zh-CN" w:bidi="ar-SA"/>
                    </w:rPr>
                    <w:t>2</w:t>
                  </w:r>
                </w:p>
              </w:tc>
              <w:tc>
                <w:tcPr>
                  <w:tcW w:w="540" w:type="pct"/>
                  <w:vAlign w:val="center"/>
                </w:tcPr>
                <w:p w14:paraId="1E34EFE3">
                  <w:pPr>
                    <w:jc w:val="center"/>
                    <w:rPr>
                      <w:rFonts w:hint="default" w:cs="Times New Roman"/>
                      <w:bCs/>
                      <w:color w:val="auto"/>
                      <w:szCs w:val="21"/>
                      <w:lang w:val="en-US" w:eastAsia="zh-CN"/>
                    </w:rPr>
                  </w:pPr>
                  <w:r>
                    <w:rPr>
                      <w:rFonts w:hint="default" w:cs="Times New Roman"/>
                      <w:bCs/>
                      <w:color w:val="auto"/>
                      <w:szCs w:val="21"/>
                      <w:lang w:val="en-US" w:eastAsia="zh-CN"/>
                    </w:rPr>
                    <w:t>/</w:t>
                  </w:r>
                </w:p>
              </w:tc>
              <w:tc>
                <w:tcPr>
                  <w:tcW w:w="540" w:type="pct"/>
                  <w:vAlign w:val="center"/>
                </w:tcPr>
                <w:p w14:paraId="7306AA32">
                  <w:pPr>
                    <w:jc w:val="center"/>
                    <w:rPr>
                      <w:rFonts w:hint="default" w:cs="Times New Roman"/>
                      <w:bCs/>
                      <w:color w:val="auto"/>
                      <w:szCs w:val="21"/>
                      <w:lang w:val="en-US" w:eastAsia="zh-CN"/>
                    </w:rPr>
                  </w:pPr>
                  <w:r>
                    <w:rPr>
                      <w:rFonts w:hint="default" w:cs="Times New Roman"/>
                      <w:bCs/>
                      <w:color w:val="auto"/>
                      <w:szCs w:val="21"/>
                      <w:lang w:val="en-US" w:eastAsia="zh-CN"/>
                    </w:rPr>
                    <w:t>187.74</w:t>
                  </w:r>
                </w:p>
              </w:tc>
              <w:tc>
                <w:tcPr>
                  <w:tcW w:w="540" w:type="pct"/>
                  <w:vAlign w:val="center"/>
                </w:tcPr>
                <w:p w14:paraId="58B80A5B">
                  <w:pPr>
                    <w:jc w:val="center"/>
                    <w:rPr>
                      <w:rFonts w:hint="default" w:cs="Times New Roman"/>
                      <w:bCs/>
                      <w:color w:val="auto"/>
                      <w:szCs w:val="21"/>
                      <w:lang w:val="en-US" w:eastAsia="zh-CN"/>
                    </w:rPr>
                  </w:pPr>
                  <w:r>
                    <w:rPr>
                      <w:rFonts w:hint="eastAsia" w:cs="Times New Roman"/>
                      <w:bCs/>
                      <w:color w:val="auto"/>
                      <w:szCs w:val="21"/>
                      <w:lang w:val="en-US" w:eastAsia="zh-CN"/>
                    </w:rPr>
                    <w:t>/</w:t>
                  </w:r>
                </w:p>
              </w:tc>
              <w:tc>
                <w:tcPr>
                  <w:tcW w:w="540" w:type="pct"/>
                  <w:vAlign w:val="center"/>
                </w:tcPr>
                <w:p w14:paraId="239E2AF5">
                  <w:pPr>
                    <w:jc w:val="center"/>
                    <w:rPr>
                      <w:rFonts w:hint="default" w:cs="Times New Roman"/>
                      <w:bCs/>
                      <w:color w:val="auto"/>
                      <w:szCs w:val="21"/>
                      <w:lang w:val="en-US" w:eastAsia="zh-CN"/>
                    </w:rPr>
                  </w:pPr>
                  <w:r>
                    <w:rPr>
                      <w:rFonts w:hint="default" w:cs="Times New Roman"/>
                      <w:bCs/>
                      <w:color w:val="auto"/>
                      <w:szCs w:val="21"/>
                      <w:lang w:val="en-US" w:eastAsia="zh-CN"/>
                    </w:rPr>
                    <w:t>168.97</w:t>
                  </w:r>
                </w:p>
              </w:tc>
              <w:tc>
                <w:tcPr>
                  <w:tcW w:w="542" w:type="pct"/>
                  <w:vAlign w:val="center"/>
                </w:tcPr>
                <w:p w14:paraId="5614099E">
                  <w:pPr>
                    <w:jc w:val="center"/>
                    <w:rPr>
                      <w:rFonts w:hint="default" w:cs="Times New Roman"/>
                      <w:bCs/>
                      <w:color w:val="auto"/>
                      <w:szCs w:val="21"/>
                      <w:lang w:val="en-US" w:eastAsia="zh-CN"/>
                    </w:rPr>
                  </w:pPr>
                  <w:r>
                    <w:rPr>
                      <w:rFonts w:hint="eastAsia" w:cs="Times New Roman"/>
                      <w:bCs/>
                      <w:color w:val="auto"/>
                      <w:szCs w:val="21"/>
                      <w:lang w:val="en-US" w:eastAsia="zh-CN"/>
                    </w:rPr>
                    <w:t>/</w:t>
                  </w:r>
                </w:p>
              </w:tc>
              <w:tc>
                <w:tcPr>
                  <w:tcW w:w="542" w:type="pct"/>
                  <w:vAlign w:val="center"/>
                </w:tcPr>
                <w:p w14:paraId="35911686">
                  <w:pPr>
                    <w:jc w:val="center"/>
                    <w:rPr>
                      <w:rFonts w:hint="default" w:cs="Times New Roman"/>
                      <w:bCs/>
                      <w:color w:val="auto"/>
                      <w:szCs w:val="21"/>
                      <w:lang w:val="en-US" w:eastAsia="zh-CN"/>
                    </w:rPr>
                  </w:pPr>
                  <w:r>
                    <w:rPr>
                      <w:rFonts w:hint="default" w:cs="Times New Roman"/>
                      <w:bCs/>
                      <w:color w:val="auto"/>
                      <w:szCs w:val="21"/>
                      <w:lang w:val="en-US" w:eastAsia="zh-CN"/>
                    </w:rPr>
                    <w:t>18.77</w:t>
                  </w:r>
                </w:p>
              </w:tc>
            </w:tr>
            <w:tr w14:paraId="656F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4" w:type="pct"/>
                  <w:gridSpan w:val="3"/>
                  <w:shd w:val="clear" w:color="auto" w:fill="auto"/>
                  <w:vAlign w:val="center"/>
                </w:tcPr>
                <w:p w14:paraId="61BE784A">
                  <w:pPr>
                    <w:jc w:val="center"/>
                    <w:rPr>
                      <w:rFonts w:hint="default" w:ascii="Times New Roman" w:hAnsi="Times New Roman" w:eastAsia="宋体" w:cs="Times New Roman"/>
                      <w:b/>
                      <w:bCs w:val="0"/>
                      <w:color w:val="auto"/>
                      <w:kern w:val="2"/>
                      <w:sz w:val="21"/>
                      <w:szCs w:val="21"/>
                      <w:lang w:val="en-US" w:eastAsia="zh-CN" w:bidi="ar-SA"/>
                    </w:rPr>
                  </w:pPr>
                  <w:r>
                    <w:rPr>
                      <w:rFonts w:hint="eastAsia" w:cs="Times New Roman"/>
                      <w:b/>
                      <w:bCs w:val="0"/>
                      <w:color w:val="auto"/>
                      <w:szCs w:val="21"/>
                      <w:lang w:val="en-US" w:eastAsia="zh-CN"/>
                    </w:rPr>
                    <w:t>合计</w:t>
                  </w:r>
                </w:p>
              </w:tc>
              <w:tc>
                <w:tcPr>
                  <w:tcW w:w="540" w:type="pct"/>
                  <w:vAlign w:val="center"/>
                </w:tcPr>
                <w:p w14:paraId="08A6DD3D">
                  <w:pPr>
                    <w:jc w:val="center"/>
                    <w:rPr>
                      <w:rFonts w:hint="default" w:ascii="Times New Roman" w:hAnsi="Times New Roman" w:eastAsia="宋体" w:cs="Times New Roman"/>
                      <w:b/>
                      <w:bCs w:val="0"/>
                      <w:color w:val="auto"/>
                      <w:szCs w:val="21"/>
                      <w:lang w:val="en-US" w:eastAsia="zh-CN"/>
                    </w:rPr>
                  </w:pPr>
                </w:p>
              </w:tc>
              <w:tc>
                <w:tcPr>
                  <w:tcW w:w="930" w:type="dxa"/>
                  <w:vAlign w:val="center"/>
                </w:tcPr>
                <w:p w14:paraId="34C0EC4B">
                  <w:pPr>
                    <w:keepNext w:val="0"/>
                    <w:keepLines w:val="0"/>
                    <w:widowControl/>
                    <w:suppressLineNumbers w:val="0"/>
                    <w:jc w:val="center"/>
                    <w:textAlignment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i w:val="0"/>
                      <w:iCs w:val="0"/>
                      <w:color w:val="000000"/>
                      <w:kern w:val="0"/>
                      <w:sz w:val="21"/>
                      <w:szCs w:val="21"/>
                      <w:u w:val="none"/>
                      <w:lang w:val="en-US" w:eastAsia="zh-CN" w:bidi="ar"/>
                    </w:rPr>
                    <w:t>313.74</w:t>
                  </w:r>
                </w:p>
              </w:tc>
              <w:tc>
                <w:tcPr>
                  <w:tcW w:w="930" w:type="dxa"/>
                  <w:vAlign w:val="center"/>
                </w:tcPr>
                <w:p w14:paraId="2DC84C7A">
                  <w:pPr>
                    <w:keepNext w:val="0"/>
                    <w:keepLines w:val="0"/>
                    <w:widowControl/>
                    <w:suppressLineNumbers w:val="0"/>
                    <w:jc w:val="center"/>
                    <w:textAlignment w:val="center"/>
                    <w:rPr>
                      <w:rFonts w:hint="default" w:ascii="Times New Roman" w:hAnsi="Times New Roman" w:eastAsia="宋体" w:cs="Times New Roman"/>
                      <w:b/>
                      <w:bCs w:val="0"/>
                      <w:color w:val="auto"/>
                      <w:szCs w:val="21"/>
                      <w:lang w:val="en-US" w:eastAsia="zh-CN"/>
                    </w:rPr>
                  </w:pPr>
                  <w:r>
                    <w:rPr>
                      <w:rFonts w:hint="eastAsia" w:cs="Times New Roman"/>
                      <w:b/>
                      <w:bCs w:val="0"/>
                      <w:i w:val="0"/>
                      <w:iCs w:val="0"/>
                      <w:color w:val="000000"/>
                      <w:kern w:val="0"/>
                      <w:sz w:val="21"/>
                      <w:szCs w:val="21"/>
                      <w:u w:val="none"/>
                      <w:lang w:val="en-US" w:eastAsia="zh-CN" w:bidi="ar"/>
                    </w:rPr>
                    <w:t>/</w:t>
                  </w:r>
                </w:p>
              </w:tc>
              <w:tc>
                <w:tcPr>
                  <w:tcW w:w="930" w:type="dxa"/>
                  <w:vAlign w:val="center"/>
                </w:tcPr>
                <w:p w14:paraId="7B1DC7EE">
                  <w:pPr>
                    <w:keepNext w:val="0"/>
                    <w:keepLines w:val="0"/>
                    <w:widowControl/>
                    <w:suppressLineNumbers w:val="0"/>
                    <w:jc w:val="center"/>
                    <w:textAlignment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i w:val="0"/>
                      <w:iCs w:val="0"/>
                      <w:color w:val="000000"/>
                      <w:kern w:val="0"/>
                      <w:sz w:val="21"/>
                      <w:szCs w:val="21"/>
                      <w:u w:val="none"/>
                      <w:lang w:val="en-US" w:eastAsia="zh-CN" w:bidi="ar"/>
                    </w:rPr>
                    <w:t>269.77</w:t>
                  </w:r>
                </w:p>
              </w:tc>
              <w:tc>
                <w:tcPr>
                  <w:tcW w:w="933" w:type="dxa"/>
                  <w:vAlign w:val="center"/>
                </w:tcPr>
                <w:p w14:paraId="3B7CE2A6">
                  <w:pPr>
                    <w:keepNext w:val="0"/>
                    <w:keepLines w:val="0"/>
                    <w:widowControl/>
                    <w:suppressLineNumbers w:val="0"/>
                    <w:jc w:val="center"/>
                    <w:textAlignment w:val="center"/>
                    <w:rPr>
                      <w:rFonts w:hint="default" w:ascii="Times New Roman" w:hAnsi="Times New Roman" w:eastAsia="宋体" w:cs="Times New Roman"/>
                      <w:b/>
                      <w:bCs w:val="0"/>
                      <w:color w:val="auto"/>
                      <w:szCs w:val="21"/>
                      <w:lang w:val="en-US" w:eastAsia="zh-CN"/>
                    </w:rPr>
                  </w:pPr>
                  <w:r>
                    <w:rPr>
                      <w:rFonts w:hint="eastAsia" w:cs="Times New Roman"/>
                      <w:b/>
                      <w:bCs w:val="0"/>
                      <w:i w:val="0"/>
                      <w:iCs w:val="0"/>
                      <w:color w:val="000000"/>
                      <w:kern w:val="0"/>
                      <w:sz w:val="21"/>
                      <w:szCs w:val="21"/>
                      <w:u w:val="none"/>
                      <w:lang w:val="en-US" w:eastAsia="zh-CN" w:bidi="ar"/>
                    </w:rPr>
                    <w:t>/</w:t>
                  </w:r>
                </w:p>
              </w:tc>
              <w:tc>
                <w:tcPr>
                  <w:tcW w:w="933" w:type="dxa"/>
                  <w:vAlign w:val="center"/>
                </w:tcPr>
                <w:p w14:paraId="27FD2517">
                  <w:pPr>
                    <w:keepNext w:val="0"/>
                    <w:keepLines w:val="0"/>
                    <w:widowControl/>
                    <w:suppressLineNumbers w:val="0"/>
                    <w:jc w:val="center"/>
                    <w:textAlignment w:val="center"/>
                    <w:rPr>
                      <w:rFonts w:hint="default" w:ascii="Times New Roman" w:hAnsi="Times New Roman" w:eastAsia="宋体" w:cs="Times New Roman"/>
                      <w:b/>
                      <w:bCs w:val="0"/>
                      <w:color w:val="auto"/>
                      <w:szCs w:val="21"/>
                      <w:lang w:val="en-US" w:eastAsia="zh-CN"/>
                    </w:rPr>
                  </w:pPr>
                  <w:r>
                    <w:rPr>
                      <w:rFonts w:hint="default" w:ascii="Times New Roman" w:hAnsi="Times New Roman" w:eastAsia="宋体" w:cs="Times New Roman"/>
                      <w:b/>
                      <w:bCs w:val="0"/>
                      <w:i w:val="0"/>
                      <w:iCs w:val="0"/>
                      <w:color w:val="000000"/>
                      <w:kern w:val="0"/>
                      <w:sz w:val="21"/>
                      <w:szCs w:val="21"/>
                      <w:u w:val="none"/>
                      <w:lang w:val="en-US" w:eastAsia="zh-CN" w:bidi="ar"/>
                    </w:rPr>
                    <w:t>43.97</w:t>
                  </w:r>
                </w:p>
              </w:tc>
            </w:tr>
          </w:tbl>
          <w:p w14:paraId="3250717E">
            <w:pPr>
              <w:keepNext w:val="0"/>
              <w:keepLines w:val="0"/>
              <w:pageBreakBefore w:val="0"/>
              <w:widowControl w:val="0"/>
              <w:kinsoku/>
              <w:wordWrap/>
              <w:overflowPunct/>
              <w:topLinePunct w:val="0"/>
              <w:bidi w:val="0"/>
              <w:adjustRightInd/>
              <w:snapToGrid/>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5458460" cy="2106295"/>
                  <wp:effectExtent l="0" t="0" r="0" b="0"/>
                  <wp:docPr id="10" name="图片 10"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水平衡"/>
                          <pic:cNvPicPr>
                            <a:picLocks noChangeAspect="1"/>
                          </pic:cNvPicPr>
                        </pic:nvPicPr>
                        <pic:blipFill>
                          <a:blip r:embed="rId11"/>
                          <a:stretch>
                            <a:fillRect/>
                          </a:stretch>
                        </pic:blipFill>
                        <pic:spPr>
                          <a:xfrm>
                            <a:off x="0" y="0"/>
                            <a:ext cx="5458460" cy="2106295"/>
                          </a:xfrm>
                          <a:prstGeom prst="rect">
                            <a:avLst/>
                          </a:prstGeom>
                        </pic:spPr>
                      </pic:pic>
                    </a:graphicData>
                  </a:graphic>
                </wp:inline>
              </w:drawing>
            </w:r>
          </w:p>
          <w:p w14:paraId="4D8A6409">
            <w:pPr>
              <w:spacing w:line="520" w:lineRule="exact"/>
              <w:jc w:val="center"/>
              <w:rPr>
                <w:rFonts w:hint="eastAsia"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图2-1         项目水平衡图          单位：m</w:t>
            </w:r>
            <w:r>
              <w:rPr>
                <w:rFonts w:hint="eastAsia" w:cs="Times New Roman"/>
                <w:b/>
                <w:bCs/>
                <w:color w:val="auto"/>
                <w:kern w:val="44"/>
                <w:sz w:val="24"/>
                <w:szCs w:val="24"/>
                <w:highlight w:val="none"/>
                <w:vertAlign w:val="superscript"/>
                <w:lang w:val="en-US" w:eastAsia="zh-CN"/>
              </w:rPr>
              <w:t>3</w:t>
            </w:r>
            <w:r>
              <w:rPr>
                <w:rFonts w:hint="eastAsia" w:cs="Times New Roman"/>
                <w:b/>
                <w:bCs/>
                <w:color w:val="auto"/>
                <w:kern w:val="44"/>
                <w:sz w:val="24"/>
                <w:szCs w:val="24"/>
                <w:highlight w:val="none"/>
                <w:lang w:val="en-US" w:eastAsia="zh-CN"/>
              </w:rPr>
              <w:t>/a</w:t>
            </w:r>
          </w:p>
          <w:p w14:paraId="55170973">
            <w:pPr>
              <w:pStyle w:val="36"/>
              <w:ind w:left="0" w:leftChars="0" w:firstLine="0" w:firstLineChars="0"/>
              <w:rPr>
                <w:rFonts w:hint="eastAsia" w:ascii="Times New Roman" w:hAnsi="Times New Roman"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7、</w:t>
            </w:r>
            <w:r>
              <w:rPr>
                <w:rFonts w:hint="eastAsia" w:ascii="Times New Roman" w:hAnsi="Times New Roman" w:eastAsia="宋体" w:cs="Times New Roman"/>
                <w:b/>
                <w:bCs/>
                <w:color w:val="auto"/>
                <w:kern w:val="44"/>
                <w:sz w:val="24"/>
                <w:szCs w:val="24"/>
                <w:highlight w:val="none"/>
                <w:lang w:val="en-US" w:eastAsia="zh-CN"/>
              </w:rPr>
              <w:t>劳动定员及工作制度</w:t>
            </w:r>
          </w:p>
          <w:p w14:paraId="00CE237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lang w:val="en-US" w:eastAsia="zh-CN"/>
              </w:rPr>
            </w:pPr>
            <w:r>
              <w:rPr>
                <w:rFonts w:hint="eastAsia" w:ascii="Times New Roman" w:hAnsi="Times New Roman" w:eastAsia="宋体" w:cs="Times New Roman"/>
                <w:color w:val="auto"/>
                <w:kern w:val="2"/>
                <w:sz w:val="24"/>
                <w:szCs w:val="24"/>
                <w:highlight w:val="none"/>
                <w:lang w:val="en-US" w:eastAsia="zh-CN" w:bidi="ar-SA"/>
              </w:rPr>
              <w:t>本项目建成后管理及操作专业人员共计</w:t>
            </w:r>
            <w:r>
              <w:rPr>
                <w:rFonts w:hint="eastAsia" w:cs="Times New Roman"/>
                <w:color w:val="auto"/>
                <w:kern w:val="2"/>
                <w:sz w:val="24"/>
                <w:szCs w:val="24"/>
                <w:highlight w:val="none"/>
                <w:lang w:val="en-US" w:eastAsia="zh-CN" w:bidi="ar-SA"/>
              </w:rPr>
              <w:t>7</w:t>
            </w:r>
            <w:r>
              <w:rPr>
                <w:rFonts w:hint="eastAsia" w:ascii="Times New Roman" w:hAnsi="Times New Roman" w:eastAsia="宋体" w:cs="Times New Roman"/>
                <w:color w:val="auto"/>
                <w:kern w:val="2"/>
                <w:sz w:val="24"/>
                <w:szCs w:val="24"/>
                <w:highlight w:val="none"/>
                <w:lang w:val="en-US" w:eastAsia="zh-CN" w:bidi="ar-SA"/>
              </w:rPr>
              <w:t>人，</w:t>
            </w:r>
            <w:r>
              <w:rPr>
                <w:rFonts w:hint="eastAsia" w:cs="Times New Roman"/>
                <w:color w:val="auto"/>
                <w:kern w:val="2"/>
                <w:sz w:val="24"/>
                <w:szCs w:val="24"/>
                <w:highlight w:val="none"/>
                <w:lang w:val="en-US" w:eastAsia="zh-CN" w:bidi="ar-SA"/>
              </w:rPr>
              <w:t>项目实行一班制，每班8小时，</w:t>
            </w:r>
            <w:r>
              <w:rPr>
                <w:rFonts w:hint="eastAsia" w:ascii="Times New Roman" w:hAnsi="Times New Roman" w:eastAsia="宋体" w:cs="Times New Roman"/>
                <w:color w:val="auto"/>
                <w:kern w:val="2"/>
                <w:sz w:val="24"/>
                <w:szCs w:val="24"/>
                <w:highlight w:val="none"/>
                <w:lang w:val="en-US" w:eastAsia="zh-CN" w:bidi="ar-SA"/>
              </w:rPr>
              <w:t>年运营时间300天。</w:t>
            </w:r>
          </w:p>
        </w:tc>
      </w:tr>
      <w:tr w14:paraId="3CD598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3" w:hRule="atLeast"/>
          <w:jc w:val="center"/>
        </w:trPr>
        <w:tc>
          <w:tcPr>
            <w:tcW w:w="770" w:type="dxa"/>
            <w:tcBorders>
              <w:tl2br w:val="nil"/>
              <w:tr2bl w:val="nil"/>
            </w:tcBorders>
            <w:noWrap w:val="0"/>
            <w:vAlign w:val="center"/>
          </w:tcPr>
          <w:p w14:paraId="79ADA23F">
            <w:pPr>
              <w:pStyle w:val="24"/>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工艺流程和产排污环节</w:t>
            </w:r>
          </w:p>
        </w:tc>
        <w:tc>
          <w:tcPr>
            <w:tcW w:w="8519" w:type="dxa"/>
            <w:tcBorders>
              <w:tl2br w:val="nil"/>
              <w:tr2bl w:val="nil"/>
            </w:tcBorders>
            <w:noWrap w:val="0"/>
            <w:vAlign w:val="top"/>
          </w:tcPr>
          <w:p w14:paraId="27442067">
            <w:pPr>
              <w:spacing w:line="360" w:lineRule="auto"/>
              <w:rPr>
                <w:rFonts w:hint="default" w:cs="Times New Roman"/>
                <w:b w:val="0"/>
                <w:bCs w:val="0"/>
                <w:color w:val="auto"/>
                <w:kern w:val="44"/>
                <w:sz w:val="24"/>
                <w:szCs w:val="24"/>
                <w:highlight w:val="none"/>
                <w:lang w:val="en-US" w:eastAsia="zh-CN"/>
              </w:rPr>
            </w:pPr>
            <w:r>
              <w:rPr>
                <w:rFonts w:hint="eastAsia" w:cs="Times New Roman"/>
                <w:b/>
                <w:bCs/>
                <w:color w:val="auto"/>
                <w:kern w:val="44"/>
                <w:sz w:val="24"/>
                <w:szCs w:val="24"/>
                <w:highlight w:val="none"/>
                <w:lang w:val="en-US" w:eastAsia="zh-CN"/>
              </w:rPr>
              <w:t>一、施工期工艺流程及产污环节：</w:t>
            </w:r>
          </w:p>
          <w:p w14:paraId="55AB4C5A">
            <w:pPr>
              <w:spacing w:line="360" w:lineRule="auto"/>
              <w:ind w:firstLine="480" w:firstLineChars="200"/>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本项目总建筑面积1712.3m</w:t>
            </w:r>
            <w:r>
              <w:rPr>
                <w:rFonts w:hint="eastAsia" w:cs="Times New Roman"/>
                <w:b w:val="0"/>
                <w:bCs w:val="0"/>
                <w:color w:val="auto"/>
                <w:kern w:val="44"/>
                <w:sz w:val="24"/>
                <w:szCs w:val="24"/>
                <w:highlight w:val="none"/>
                <w:vertAlign w:val="superscript"/>
                <w:lang w:val="en-US" w:eastAsia="zh-CN"/>
              </w:rPr>
              <w:t>2</w:t>
            </w:r>
            <w:r>
              <w:rPr>
                <w:rFonts w:hint="eastAsia" w:cs="Times New Roman"/>
                <w:b w:val="0"/>
                <w:bCs w:val="0"/>
                <w:color w:val="auto"/>
                <w:kern w:val="44"/>
                <w:sz w:val="24"/>
                <w:szCs w:val="24"/>
                <w:highlight w:val="none"/>
                <w:lang w:val="en-US" w:eastAsia="zh-CN"/>
              </w:rPr>
              <w:t>，建设内容包括生产车间一座及办公楼一座。建设完成后，厂区可形成年回收拆解报废汽车5000辆的规模，主要污染因子有施工扬尘、施工废水、生活垃圾级少量建筑垃圾、施工噪声等。</w:t>
            </w:r>
          </w:p>
          <w:p w14:paraId="013EFFA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auto"/>
                <w:sz w:val="24"/>
              </w:rPr>
            </w:pPr>
            <w:r>
              <w:rPr>
                <w:color w:val="auto"/>
                <w:sz w:val="24"/>
              </w:rPr>
              <w:t>基础工程阶段，主要是主体工程的土方开挖、回填等，污染来源主要有开挖回填的机械如推土机、挖掘机、装载机以及各种车辆，移动过程中会产生扬尘、废气和噪声污染；施工产生建筑垃圾。</w:t>
            </w:r>
          </w:p>
          <w:p w14:paraId="0FF115A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auto"/>
                <w:sz w:val="24"/>
              </w:rPr>
            </w:pPr>
            <w:r>
              <w:rPr>
                <w:color w:val="auto"/>
                <w:sz w:val="24"/>
              </w:rPr>
              <w:t>主体工程阶段，主体工程建设所需建筑材料的现场搬运及堆放，污染来源主要有混凝土搅拌机、振捣棒、电锯等施工中产生的扬尘和噪声；施工产生的建筑垃圾以及少量混凝土养护和机车冲洗产生的废水。</w:t>
            </w:r>
          </w:p>
          <w:p w14:paraId="161AD5BA">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auto"/>
                <w:sz w:val="24"/>
              </w:rPr>
            </w:pPr>
            <w:r>
              <w:rPr>
                <w:color w:val="auto"/>
                <w:sz w:val="24"/>
              </w:rPr>
              <w:t>设备安装阶段，主要是对房屋工程中的设备进行安装，污染来源有安装</w:t>
            </w:r>
            <w:r>
              <w:rPr>
                <w:rFonts w:hint="eastAsia"/>
                <w:color w:val="auto"/>
                <w:sz w:val="24"/>
                <w:lang w:eastAsia="zh-CN"/>
              </w:rPr>
              <w:t>过程</w:t>
            </w:r>
            <w:r>
              <w:rPr>
                <w:color w:val="auto"/>
                <w:sz w:val="24"/>
              </w:rPr>
              <w:t>中机械设备产生的噪声，固废和少量清洗废水。</w:t>
            </w:r>
          </w:p>
          <w:p w14:paraId="210597AB">
            <w:pPr>
              <w:pageBreakBefore w:val="0"/>
              <w:widowControl w:val="0"/>
              <w:kinsoku/>
              <w:wordWrap/>
              <w:overflowPunct/>
              <w:topLinePunct w:val="0"/>
              <w:autoSpaceDE/>
              <w:autoSpaceDN/>
              <w:bidi w:val="0"/>
              <w:adjustRightInd/>
              <w:snapToGrid w:val="0"/>
              <w:spacing w:line="360" w:lineRule="auto"/>
              <w:ind w:firstLine="480" w:firstLineChars="200"/>
              <w:rPr>
                <w:rFonts w:hint="eastAsia"/>
                <w:color w:val="auto"/>
                <w:lang w:val="en-US" w:eastAsia="zh-CN"/>
              </w:rPr>
            </w:pPr>
            <w:r>
              <w:rPr>
                <w:color w:val="auto"/>
                <w:sz w:val="24"/>
              </w:rPr>
              <w:t>工程验收阶段</w:t>
            </w:r>
            <w:r>
              <w:rPr>
                <w:rFonts w:hint="eastAsia"/>
                <w:color w:val="auto"/>
                <w:sz w:val="24"/>
              </w:rPr>
              <w:t>，</w:t>
            </w:r>
            <w:r>
              <w:rPr>
                <w:color w:val="auto"/>
                <w:sz w:val="24"/>
              </w:rPr>
              <w:t>主要是对新建项目进行工程验收，污染来源主要有少量废水和固废</w:t>
            </w:r>
            <w:r>
              <w:rPr>
                <w:rFonts w:hint="default" w:ascii="Times New Roman" w:hAnsi="Times New Roman" w:eastAsia="宋体" w:cs="隶书"/>
                <w:color w:val="auto"/>
                <w:kern w:val="2"/>
                <w:sz w:val="24"/>
                <w:szCs w:val="24"/>
                <w:lang w:val="en-US" w:eastAsia="zh-CN" w:bidi="ar-SA"/>
              </w:rPr>
              <w:t>。</w:t>
            </w:r>
          </w:p>
          <w:p w14:paraId="0C2B5B33">
            <w:pPr>
              <w:spacing w:line="360" w:lineRule="auto"/>
              <w:jc w:val="center"/>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drawing>
                <wp:inline distT="0" distB="0" distL="114300" distR="114300">
                  <wp:extent cx="5469890" cy="4490085"/>
                  <wp:effectExtent l="0" t="0" r="16510" b="571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12"/>
                          <a:stretch>
                            <a:fillRect/>
                          </a:stretch>
                        </pic:blipFill>
                        <pic:spPr>
                          <a:xfrm>
                            <a:off x="0" y="0"/>
                            <a:ext cx="5469890" cy="4490085"/>
                          </a:xfrm>
                          <a:prstGeom prst="rect">
                            <a:avLst/>
                          </a:prstGeom>
                        </pic:spPr>
                      </pic:pic>
                    </a:graphicData>
                  </a:graphic>
                </wp:inline>
              </w:drawing>
            </w:r>
            <w:r>
              <w:rPr>
                <w:rFonts w:hint="eastAsia" w:cs="Times New Roman"/>
                <w:b/>
                <w:bCs/>
                <w:color w:val="auto"/>
                <w:kern w:val="44"/>
                <w:sz w:val="24"/>
                <w:szCs w:val="24"/>
                <w:highlight w:val="none"/>
                <w:lang w:val="en-US" w:eastAsia="zh-CN"/>
              </w:rPr>
              <w:t>图2-2   施工期工艺流程及产污环节</w:t>
            </w:r>
          </w:p>
          <w:p w14:paraId="501976B3">
            <w:pPr>
              <w:spacing w:line="360" w:lineRule="auto"/>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二、运营期工艺流程及产排污环节</w:t>
            </w:r>
          </w:p>
          <w:p w14:paraId="67361450">
            <w:pPr>
              <w:spacing w:line="360" w:lineRule="auto"/>
              <w:ind w:firstLine="480" w:firstLineChars="200"/>
              <w:rPr>
                <w:rFonts w:hint="eastAsia" w:ascii="Times New Roman" w:hAnsi="Times New Roman" w:eastAsia="宋体"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本项目设计生产规模为年拆解报废汽车5000辆，拆解报废车辆包括报废小汽车及农用车，本项目仅接收一般性质车辆的拆解，不接受槽罐车、危险化学品运输车</w:t>
            </w:r>
            <w:r>
              <w:rPr>
                <w:rFonts w:hint="eastAsia" w:ascii="Times New Roman" w:hAnsi="Times New Roman" w:eastAsia="宋体" w:cs="Times New Roman"/>
                <w:b w:val="0"/>
                <w:bCs w:val="0"/>
                <w:color w:val="auto"/>
                <w:kern w:val="44"/>
                <w:sz w:val="24"/>
                <w:szCs w:val="24"/>
                <w:highlight w:val="none"/>
                <w:lang w:val="en-US" w:eastAsia="zh-CN"/>
              </w:rPr>
              <w:t>等特殊装备车辆。</w:t>
            </w:r>
          </w:p>
          <w:p w14:paraId="1CAAFA25">
            <w:pPr>
              <w:spacing w:line="360" w:lineRule="auto"/>
              <w:ind w:firstLine="480" w:firstLineChars="200"/>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本项目的拆解流程主要包括入厂检查登记、报废车预处理、报废汽车暂存、报废车拆卸和各种物品的分类收集和处置，本项目仅涉及汽车的拆解，各类部件基本上不进行进一步的拆分和处置，不对拆解下的零部件进行清洗、翻新等深度加工工序。</w:t>
            </w:r>
          </w:p>
          <w:p w14:paraId="45B856BD">
            <w:pPr>
              <w:spacing w:line="360" w:lineRule="auto"/>
              <w:ind w:firstLine="482" w:firstLineChars="200"/>
              <w:rPr>
                <w:rFonts w:hint="eastAsia"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报废汽车拆解：</w:t>
            </w:r>
          </w:p>
          <w:p w14:paraId="730D74C5">
            <w:pPr>
              <w:spacing w:line="360" w:lineRule="auto"/>
              <w:ind w:firstLine="480" w:firstLineChars="200"/>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报废燃油汽车拆解详细工艺流程及产污环节见图2-3。</w:t>
            </w:r>
          </w:p>
          <w:p w14:paraId="4431A053">
            <w:pPr>
              <w:spacing w:line="360" w:lineRule="auto"/>
              <w:rPr>
                <w:rFonts w:hint="eastAsia"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drawing>
                <wp:inline distT="0" distB="0" distL="114300" distR="114300">
                  <wp:extent cx="5468620" cy="6809105"/>
                  <wp:effectExtent l="0" t="0" r="17780" b="1079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3"/>
                          <a:stretch>
                            <a:fillRect/>
                          </a:stretch>
                        </pic:blipFill>
                        <pic:spPr>
                          <a:xfrm>
                            <a:off x="0" y="0"/>
                            <a:ext cx="5468620" cy="6809105"/>
                          </a:xfrm>
                          <a:prstGeom prst="rect">
                            <a:avLst/>
                          </a:prstGeom>
                        </pic:spPr>
                      </pic:pic>
                    </a:graphicData>
                  </a:graphic>
                </wp:inline>
              </w:drawing>
            </w:r>
          </w:p>
          <w:p w14:paraId="3C782644">
            <w:pPr>
              <w:spacing w:line="360" w:lineRule="auto"/>
              <w:jc w:val="center"/>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图2-3 报废燃油汽车拆解详细工艺流程及产污环节图</w:t>
            </w:r>
          </w:p>
          <w:p w14:paraId="215CDCCB">
            <w:pPr>
              <w:spacing w:line="360" w:lineRule="auto"/>
              <w:ind w:firstLine="482" w:firstLineChars="200"/>
              <w:rPr>
                <w:rFonts w:hint="default" w:ascii="Times New Roman" w:hAnsi="Times New Roman" w:eastAsia="宋体" w:cs="Times New Roman"/>
                <w:b w:val="0"/>
                <w:bCs w:val="0"/>
                <w:color w:val="auto"/>
                <w:kern w:val="44"/>
                <w:sz w:val="24"/>
                <w:szCs w:val="24"/>
                <w:highlight w:val="none"/>
                <w:lang w:val="en-US" w:eastAsia="zh-CN"/>
              </w:rPr>
            </w:pPr>
            <w:r>
              <w:rPr>
                <w:rFonts w:hint="eastAsia" w:cs="Times New Roman"/>
                <w:b/>
                <w:bCs/>
                <w:color w:val="auto"/>
                <w:kern w:val="44"/>
                <w:sz w:val="24"/>
                <w:szCs w:val="24"/>
                <w:highlight w:val="none"/>
                <w:lang w:val="en-US" w:eastAsia="zh-CN"/>
              </w:rPr>
              <w:t>运营期</w:t>
            </w:r>
            <w:r>
              <w:rPr>
                <w:rFonts w:hint="eastAsia" w:ascii="Times New Roman" w:hAnsi="Times New Roman" w:eastAsia="宋体" w:cs="Times New Roman"/>
                <w:b/>
                <w:bCs/>
                <w:color w:val="auto"/>
                <w:kern w:val="44"/>
                <w:sz w:val="24"/>
                <w:szCs w:val="24"/>
                <w:highlight w:val="none"/>
                <w:lang w:val="en-US" w:eastAsia="zh-CN"/>
              </w:rPr>
              <w:t>工艺流程说明</w:t>
            </w:r>
            <w:r>
              <w:rPr>
                <w:rFonts w:hint="eastAsia" w:cs="Times New Roman"/>
                <w:b/>
                <w:bCs/>
                <w:color w:val="auto"/>
                <w:kern w:val="44"/>
                <w:sz w:val="24"/>
                <w:szCs w:val="24"/>
                <w:highlight w:val="none"/>
                <w:lang w:val="en-US" w:eastAsia="zh-CN"/>
              </w:rPr>
              <w:t>：</w:t>
            </w:r>
          </w:p>
          <w:p w14:paraId="76A96850">
            <w:pPr>
              <w:spacing w:line="360" w:lineRule="auto"/>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1、登记检查</w:t>
            </w:r>
          </w:p>
          <w:p w14:paraId="73559BA1">
            <w:pPr>
              <w:spacing w:line="360" w:lineRule="auto"/>
              <w:ind w:firstLine="480" w:firstLineChars="200"/>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1）报废汽车进厂后，取出灭火器、三角锥、车载工具等，人工检查报废汽车发动机、散热器、变速器、差速器、油箱等总成部件的密封破损情况。对于出现有泄漏的总成部件，采用相应的收集桶先收集泄漏的液体，防止废液跑冒滴漏。</w:t>
            </w:r>
          </w:p>
          <w:p w14:paraId="111439CF">
            <w:pPr>
              <w:spacing w:line="360" w:lineRule="auto"/>
              <w:ind w:firstLine="480" w:firstLineChars="200"/>
              <w:jc w:val="left"/>
              <w:rPr>
                <w:rFonts w:hint="eastAsia"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2）对报废燃油汽车进行登记注册并拍照，将其主要信息录入电脑数据库并在车身醒目位置贴上显示信息的标签，主要信息包括：报废汽车车主（单位或个人）名称、证件号码、牌照号码、车型、品牌型号、车身颜色、重量、发动机号、车辆识别代号（或车架号）、出厂年份、接收或收购日期；</w:t>
            </w:r>
          </w:p>
          <w:p w14:paraId="30CB15D0">
            <w:pPr>
              <w:spacing w:line="360" w:lineRule="auto"/>
              <w:ind w:firstLine="480" w:firstLineChars="200"/>
              <w:jc w:val="left"/>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（3）将报废汽车的机动车登记证书、号牌、行驶证交公安机关交通管理部门办理注销登记。</w:t>
            </w:r>
          </w:p>
          <w:p w14:paraId="4A2B002C">
            <w:pPr>
              <w:spacing w:line="360" w:lineRule="auto"/>
              <w:ind w:firstLine="480" w:firstLineChars="200"/>
              <w:jc w:val="left"/>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（4）向报废汽车车主发放《报废汽车回收证明》及有关注销书面材料。</w:t>
            </w:r>
          </w:p>
          <w:p w14:paraId="0D44C71A">
            <w:pPr>
              <w:spacing w:line="360" w:lineRule="auto"/>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2、报废汽车存储</w:t>
            </w:r>
          </w:p>
          <w:p w14:paraId="5A91A7D4">
            <w:pPr>
              <w:spacing w:line="360" w:lineRule="auto"/>
              <w:ind w:firstLine="480" w:firstLineChars="200"/>
              <w:rPr>
                <w:rFonts w:hint="default" w:ascii="Times New Roman" w:hAnsi="Times New Roman" w:eastAsia="宋体" w:cs="Times New Roman"/>
                <w:b w:val="0"/>
                <w:bCs w:val="0"/>
                <w:color w:val="auto"/>
                <w:kern w:val="44"/>
                <w:sz w:val="24"/>
                <w:szCs w:val="24"/>
                <w:highlight w:val="none"/>
                <w:lang w:val="en-US" w:eastAsia="zh-CN"/>
              </w:rPr>
            </w:pPr>
            <w:r>
              <w:rPr>
                <w:rFonts w:hint="eastAsia" w:ascii="Times New Roman" w:hAnsi="Times New Roman" w:eastAsia="宋体" w:cs="Times New Roman"/>
                <w:b w:val="0"/>
                <w:bCs w:val="0"/>
                <w:color w:val="auto"/>
                <w:kern w:val="44"/>
                <w:sz w:val="24"/>
                <w:szCs w:val="24"/>
                <w:highlight w:val="none"/>
                <w:lang w:val="en-US" w:eastAsia="zh-CN"/>
              </w:rPr>
              <w:t>（1）避免侧放、倒放。</w:t>
            </w:r>
          </w:p>
          <w:p w14:paraId="382A192B">
            <w:pPr>
              <w:spacing w:line="360" w:lineRule="auto"/>
              <w:ind w:firstLine="480" w:firstLineChars="200"/>
              <w:jc w:val="left"/>
              <w:rPr>
                <w:rFonts w:hint="default" w:ascii="Times New Roman" w:hAnsi="Times New Roman" w:eastAsia="宋体"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（2）如需要叠放，使上下车辆的重心尽量重合，以防掉落，且叠放时外侧高度不超过3m，内侧高度不超过4.5m；对大型车辆应单层平置。</w:t>
            </w:r>
          </w:p>
          <w:p w14:paraId="0EF1BD46">
            <w:pPr>
              <w:spacing w:line="360" w:lineRule="auto"/>
              <w:ind w:firstLine="480" w:firstLineChars="200"/>
              <w:jc w:val="left"/>
              <w:rPr>
                <w:rFonts w:hint="default" w:ascii="Times New Roman" w:hAnsi="Times New Roman" w:eastAsia="宋体"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（3）与其他废弃物分开存储。</w:t>
            </w:r>
          </w:p>
          <w:p w14:paraId="78DF5236">
            <w:pPr>
              <w:spacing w:line="360" w:lineRule="auto"/>
              <w:ind w:firstLine="480" w:firstLineChars="200"/>
              <w:jc w:val="left"/>
              <w:rPr>
                <w:rFonts w:hint="default" w:ascii="Times New Roman" w:hAnsi="Times New Roman" w:eastAsia="宋体"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（4）接收或收购报废汽车后，在3个月之内将其拆解完毕。</w:t>
            </w:r>
          </w:p>
          <w:p w14:paraId="59558309">
            <w:pPr>
              <w:spacing w:line="360" w:lineRule="auto"/>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eastAsia="宋体" w:cs="Times New Roman"/>
                <w:b/>
                <w:bCs/>
                <w:color w:val="auto"/>
                <w:kern w:val="44"/>
                <w:sz w:val="24"/>
                <w:szCs w:val="24"/>
                <w:highlight w:val="none"/>
                <w:lang w:val="en-US" w:eastAsia="zh-CN"/>
              </w:rPr>
              <w:t>3、</w:t>
            </w:r>
            <w:r>
              <w:rPr>
                <w:rFonts w:hint="eastAsia" w:cs="Times New Roman"/>
                <w:b/>
                <w:bCs/>
                <w:color w:val="auto"/>
                <w:kern w:val="44"/>
                <w:sz w:val="24"/>
                <w:szCs w:val="24"/>
                <w:highlight w:val="none"/>
                <w:lang w:val="en-US" w:eastAsia="zh-CN"/>
              </w:rPr>
              <w:t>拆解预处理</w:t>
            </w:r>
          </w:p>
          <w:p w14:paraId="6020E39B">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机动车拆解预处理技术要求：</w:t>
            </w:r>
          </w:p>
          <w:p w14:paraId="7BF84394">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①在室内或有防雨顶棚的拆解预处理平台上使用专用工具排空存留在车内的废液，并使用专用容器分类回收。</w:t>
            </w:r>
          </w:p>
          <w:p w14:paraId="074FFC1B">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②拆除铅酸蓄电池。</w:t>
            </w:r>
          </w:p>
          <w:p w14:paraId="6115CE2E">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③用专门设备回收机动车空调制冷剂。</w:t>
            </w:r>
          </w:p>
          <w:p w14:paraId="0FB32CE9">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④拆除油箱和燃料罐。</w:t>
            </w:r>
          </w:p>
          <w:p w14:paraId="09CE6199">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⑤拆除机油滤清器。</w:t>
            </w:r>
          </w:p>
          <w:p w14:paraId="7EFDB761">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⑥直接引爆安全气囊或者拆除安全气囊组件后引爆。</w:t>
            </w:r>
          </w:p>
          <w:p w14:paraId="484B102D">
            <w:pPr>
              <w:spacing w:line="360" w:lineRule="auto"/>
              <w:ind w:firstLine="480" w:firstLineChars="200"/>
              <w:jc w:val="left"/>
              <w:rPr>
                <w:rFonts w:hint="eastAsia" w:ascii="宋体" w:hAnsi="宋体" w:eastAsia="宋体" w:cs="宋体"/>
                <w:sz w:val="24"/>
                <w:szCs w:val="24"/>
                <w:lang w:eastAsia="zh-CN"/>
              </w:rPr>
            </w:pPr>
            <w:r>
              <w:rPr>
                <w:rFonts w:ascii="宋体" w:hAnsi="宋体" w:eastAsia="宋体" w:cs="宋体"/>
                <w:sz w:val="24"/>
                <w:szCs w:val="24"/>
              </w:rPr>
              <w:t>⑦拆除催化系统</w:t>
            </w:r>
            <w:r>
              <w:rPr>
                <w:rFonts w:hint="eastAsia" w:ascii="宋体" w:hAnsi="宋体" w:eastAsia="宋体" w:cs="宋体"/>
                <w:sz w:val="24"/>
                <w:szCs w:val="24"/>
                <w:lang w:eastAsia="zh-CN"/>
              </w:rPr>
              <w:t>（</w:t>
            </w:r>
            <w:r>
              <w:rPr>
                <w:rFonts w:ascii="宋体" w:hAnsi="宋体" w:eastAsia="宋体" w:cs="宋体"/>
                <w:sz w:val="24"/>
                <w:szCs w:val="24"/>
              </w:rPr>
              <w:t>催化转化器、选择性催化还原装置、柴油颗粒物捕集器等</w:t>
            </w:r>
            <w:r>
              <w:rPr>
                <w:rFonts w:hint="eastAsia" w:ascii="宋体" w:hAnsi="宋体" w:eastAsia="宋体" w:cs="宋体"/>
                <w:sz w:val="24"/>
                <w:szCs w:val="24"/>
                <w:lang w:eastAsia="zh-CN"/>
              </w:rPr>
              <w:t>）。</w:t>
            </w:r>
          </w:p>
          <w:p w14:paraId="44751414">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预处理工序：</w:t>
            </w:r>
          </w:p>
          <w:p w14:paraId="66FE87C2">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拆解前的预处理工序主要对机动车蓄电池、安全气囊、废液、汽车空调制冷剂等进行拆除和回收。待拆解机动车移至室内的预处理区后，由专业人员断开机动车电路后，用人工作业方式先拆除蓄电池；用人工作业方式对机动车拆除安全气囊；采用专用工具排空和收集车内的废液(包括汽油、柴油、机油、润滑剂、液压油、制动液、防冻剂等)，存留在报废汽车中的各种废液抽空并分类回收，各种废液尽量全部排空。用专门设备回收汽车空调制冷剂，不同类型的制冷剂分别回收和存放；拆除的安全气囊采用密闭式安全气囊引爆器进行电子引爆。</w:t>
            </w:r>
          </w:p>
          <w:p w14:paraId="643244E1">
            <w:pPr>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蓄电池拆解：拆下蓄电池正、负极接线，拆下蓄电池固定卡，取下蓄电池。搬动蓄电池时，要轻拿轻放，不可歪斜，以免电解液泼溅到衣服或皮肤上，引起腐烂烧伤。(此步骤为各部件直接拆解下来，整体送往有资质单位进行处理处置，本企业不进行进一步精细拆解)。</w:t>
            </w:r>
          </w:p>
          <w:p w14:paraId="73799F66">
            <w:pPr>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废电容器：采用相应工具进行电容器和尾气净化装置的拆除。本企业不进行进一步精细拆解。</w:t>
            </w:r>
          </w:p>
          <w:p w14:paraId="32571A75">
            <w:pPr>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安全气囊爆破：安全气囊爆破装置安放在车间内，用于对报废汽车的安全气囊进行无害化处理。</w:t>
            </w:r>
          </w:p>
          <w:p w14:paraId="591EF92C">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安全气囊爆破装置主要由专用蓄电池，电控系统、遥控装置、箱体结构、电磁门锁、警报灯等部件组成。其特点是结构简单、爆破效率高、安全可靠、可移动、使用与维护方便等。</w:t>
            </w:r>
          </w:p>
          <w:p w14:paraId="2B6FEC92">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安全气囊引爆过程原理如下：安全气囊主要化学成分包括：叠氮化钠、硝酸钾和二氧化硅，引爆时，叠氮化钠分解释放氮气和金属钠，金属钠和硝酸钾反应释放出更多氮气并形成氧化钾和氧化钠，这些氧化物会立即和二氧化硅结合形成无害的硅酸钠、硅酸钾玻璃，氮气则充进气囊。</w:t>
            </w:r>
          </w:p>
          <w:p w14:paraId="109C6A55">
            <w:pPr>
              <w:spacing w:line="360" w:lineRule="auto"/>
              <w:ind w:firstLine="480" w:firstLineChars="200"/>
              <w:jc w:val="left"/>
              <w:rPr>
                <w:rFonts w:hint="eastAsia" w:ascii="宋体" w:hAnsi="宋体" w:eastAsia="宋体" w:cs="宋体"/>
                <w:sz w:val="24"/>
                <w:szCs w:val="24"/>
                <w:lang w:val="en-US" w:eastAsia="zh-CN"/>
              </w:rPr>
            </w:pPr>
            <w:r>
              <w:rPr>
                <w:rFonts w:ascii="宋体" w:hAnsi="宋体" w:eastAsia="宋体" w:cs="宋体"/>
                <w:sz w:val="24"/>
                <w:szCs w:val="24"/>
              </w:rPr>
              <w:t>安全气囊爆破时会以大约300km/h的速度弹出，而由此所产生的撞击力约有180公斤，产生的灼热气体会灼伤人员。本套爆破装置采用双层箱体结构并预留充足的空间有效解决爆破时所产生的撞击，装置配备双电源保护开关，在未关门的前提下二级电源不会接通，爆破采用遥控器控制。</w:t>
            </w:r>
          </w:p>
          <w:p w14:paraId="5A9CDCBD">
            <w:pPr>
              <w:spacing w:line="360" w:lineRule="auto"/>
              <w:jc w:val="left"/>
              <w:rPr>
                <w:rFonts w:hint="eastAsia" w:ascii="宋体" w:hAnsi="宋体" w:eastAsia="宋体" w:cs="宋体"/>
                <w:sz w:val="24"/>
                <w:szCs w:val="24"/>
                <w:lang w:val="en-US" w:eastAsia="zh-CN"/>
              </w:rPr>
            </w:pPr>
            <w:r>
              <w:drawing>
                <wp:inline distT="0" distB="0" distL="114300" distR="114300">
                  <wp:extent cx="5481320" cy="2478405"/>
                  <wp:effectExtent l="0" t="0" r="5080" b="1714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4"/>
                          <a:stretch>
                            <a:fillRect/>
                          </a:stretch>
                        </pic:blipFill>
                        <pic:spPr>
                          <a:xfrm>
                            <a:off x="0" y="0"/>
                            <a:ext cx="5481320" cy="2478405"/>
                          </a:xfrm>
                          <a:prstGeom prst="rect">
                            <a:avLst/>
                          </a:prstGeom>
                          <a:noFill/>
                          <a:ln>
                            <a:noFill/>
                          </a:ln>
                        </pic:spPr>
                      </pic:pic>
                    </a:graphicData>
                  </a:graphic>
                </wp:inline>
              </w:drawing>
            </w:r>
          </w:p>
          <w:p w14:paraId="0E1AFECF">
            <w:pPr>
              <w:spacing w:line="360" w:lineRule="auto"/>
              <w:ind w:firstLine="482" w:firstLineChars="200"/>
              <w:jc w:val="center"/>
              <w:rPr>
                <w:rFonts w:hint="default" w:cs="Times New Roman"/>
                <w:b w:val="0"/>
                <w:bCs w:val="0"/>
                <w:color w:val="auto"/>
                <w:kern w:val="44"/>
                <w:sz w:val="24"/>
                <w:szCs w:val="24"/>
                <w:highlight w:val="none"/>
                <w:lang w:val="en-US" w:eastAsia="zh-CN"/>
              </w:rPr>
            </w:pPr>
            <w:r>
              <w:rPr>
                <w:rFonts w:hint="eastAsia" w:cs="Times New Roman"/>
                <w:b/>
                <w:bCs/>
                <w:color w:val="auto"/>
                <w:kern w:val="44"/>
                <w:sz w:val="24"/>
                <w:szCs w:val="24"/>
                <w:highlight w:val="none"/>
                <w:lang w:val="en-US" w:eastAsia="zh-CN"/>
              </w:rPr>
              <w:t>图2-4 气囊引爆箱</w:t>
            </w:r>
          </w:p>
          <w:p w14:paraId="1F7C011D">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安全气囊内充气剂为叠氮化钠(NaN</w:t>
            </w:r>
            <w:r>
              <w:rPr>
                <w:rFonts w:ascii="宋体" w:hAnsi="宋体" w:eastAsia="宋体" w:cs="宋体"/>
                <w:sz w:val="24"/>
                <w:szCs w:val="24"/>
                <w:vertAlign w:val="subscript"/>
              </w:rPr>
              <w:t>3</w:t>
            </w:r>
            <w:r>
              <w:rPr>
                <w:rFonts w:ascii="宋体" w:hAnsi="宋体" w:eastAsia="宋体" w:cs="宋体"/>
                <w:sz w:val="24"/>
                <w:szCs w:val="24"/>
              </w:rPr>
              <w:t>)，在近乎爆炸的化学反应快速发生的同时，会产生大量无害的以氮气为主的气体，将气囊充气至饱满的状态。同时在充气剂点燃的过程中，点火器总成中的金属网翠可冷却快速膨胀的气体，随即气囊可由设计好的小排气口排气，排出的气体主要成分为氮气，对空气环境影响较小。安全气囊引爆流程图见图2-</w:t>
            </w:r>
            <w:r>
              <w:rPr>
                <w:rFonts w:hint="eastAsia" w:ascii="宋体" w:hAnsi="宋体" w:eastAsia="宋体" w:cs="宋体"/>
                <w:sz w:val="24"/>
                <w:szCs w:val="24"/>
                <w:lang w:val="en-US" w:eastAsia="zh-CN"/>
              </w:rPr>
              <w:t>5</w:t>
            </w:r>
            <w:r>
              <w:rPr>
                <w:rFonts w:ascii="宋体" w:hAnsi="宋体" w:eastAsia="宋体" w:cs="宋体"/>
                <w:sz w:val="24"/>
                <w:szCs w:val="24"/>
              </w:rPr>
              <w:t>。</w:t>
            </w:r>
          </w:p>
          <w:p w14:paraId="50213341">
            <w:pPr>
              <w:spacing w:line="360" w:lineRule="auto"/>
              <w:jc w:val="left"/>
              <w:rPr>
                <w:rFonts w:hint="eastAsia" w:cs="Times New Roman"/>
                <w:b w:val="0"/>
                <w:bCs w:val="0"/>
                <w:color w:val="auto"/>
                <w:kern w:val="44"/>
                <w:sz w:val="24"/>
                <w:szCs w:val="24"/>
                <w:highlight w:val="none"/>
                <w:lang w:val="en-US" w:eastAsia="zh-CN"/>
              </w:rPr>
            </w:pPr>
            <w:r>
              <w:drawing>
                <wp:inline distT="0" distB="0" distL="114300" distR="114300">
                  <wp:extent cx="5076190" cy="3113405"/>
                  <wp:effectExtent l="0" t="0" r="10160" b="1079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5"/>
                          <a:stretch>
                            <a:fillRect/>
                          </a:stretch>
                        </pic:blipFill>
                        <pic:spPr>
                          <a:xfrm>
                            <a:off x="0" y="0"/>
                            <a:ext cx="5076190" cy="3113405"/>
                          </a:xfrm>
                          <a:prstGeom prst="rect">
                            <a:avLst/>
                          </a:prstGeom>
                          <a:noFill/>
                          <a:ln>
                            <a:noFill/>
                          </a:ln>
                        </pic:spPr>
                      </pic:pic>
                    </a:graphicData>
                  </a:graphic>
                </wp:inline>
              </w:drawing>
            </w:r>
          </w:p>
          <w:p w14:paraId="41424612">
            <w:pPr>
              <w:spacing w:line="360" w:lineRule="auto"/>
              <w:ind w:firstLine="482" w:firstLineChars="200"/>
              <w:jc w:val="center"/>
              <w:rPr>
                <w:rFonts w:hint="default" w:cs="Times New Roman"/>
                <w:b w:val="0"/>
                <w:bCs w:val="0"/>
                <w:color w:val="auto"/>
                <w:kern w:val="44"/>
                <w:sz w:val="24"/>
                <w:szCs w:val="24"/>
                <w:highlight w:val="none"/>
                <w:lang w:val="en-US" w:eastAsia="zh-CN"/>
              </w:rPr>
            </w:pPr>
            <w:r>
              <w:rPr>
                <w:rFonts w:hint="eastAsia" w:cs="Times New Roman"/>
                <w:b/>
                <w:bCs/>
                <w:color w:val="auto"/>
                <w:kern w:val="44"/>
                <w:sz w:val="24"/>
                <w:szCs w:val="24"/>
                <w:highlight w:val="none"/>
                <w:lang w:val="en-US" w:eastAsia="zh-CN"/>
              </w:rPr>
              <w:t>图2-5 安全气囊引爆过程图</w:t>
            </w:r>
          </w:p>
          <w:p w14:paraId="51E6047C">
            <w:pPr>
              <w:spacing w:line="360" w:lineRule="auto"/>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4、拆解阶段</w:t>
            </w:r>
          </w:p>
          <w:p w14:paraId="29D6871F">
            <w:pPr>
              <w:spacing w:line="360" w:lineRule="auto"/>
              <w:ind w:firstLine="480" w:firstLineChars="200"/>
              <w:jc w:val="left"/>
              <w:rPr>
                <w:rFonts w:hint="default"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报废汽车预处理完毕之后进入拆解阶段，拆解工序主要进行拆解回收钢铁、有色金属、塑料、橡胶、玻璃等材料，不对发动机、变速器、电子元器件、蓄电池、尾气净化装置等进行深度拆解，拆解过程按照汽车生产企业所提供的拆解信息或拆解手册进行合理拆解，没有拆解手册的，参照同类其他车辆的规定拆解。</w:t>
            </w:r>
          </w:p>
          <w:p w14:paraId="65AE69C0">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在拆解报废汽车零部件时，使用各类专用工具，拆解时避免损伤或污染再利用零件和可回收材料，并尽可能保证零部件可再利用性以及材料可回收利用性。</w:t>
            </w:r>
          </w:p>
          <w:p w14:paraId="4E298723">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主要拆解工作流程如下：</w:t>
            </w:r>
          </w:p>
          <w:p w14:paraId="62E94D5A">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①拆下油箱；</w:t>
            </w:r>
          </w:p>
          <w:p w14:paraId="13CBBDE6">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②拆除机油滤清器；</w:t>
            </w:r>
          </w:p>
          <w:p w14:paraId="4DF33B2C">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③拆除玻璃；</w:t>
            </w:r>
          </w:p>
          <w:p w14:paraId="3B6EEEF0">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④拆除包含有毒物质的部件（含有铅、汞、镉及六价铬的部件）；</w:t>
            </w:r>
          </w:p>
          <w:p w14:paraId="00104337">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⑤拆除催化转化器及消声器、转向锁总成、停车装置、倒车雷达及电子控制模块；</w:t>
            </w:r>
          </w:p>
          <w:p w14:paraId="43D834DD">
            <w:pPr>
              <w:spacing w:line="360" w:lineRule="auto"/>
              <w:ind w:firstLine="480" w:firstLineChars="200"/>
              <w:jc w:val="left"/>
              <w:rPr>
                <w:rFonts w:hint="default"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⑥拆除车轮并拆下轮胎</w:t>
            </w:r>
          </w:p>
          <w:p w14:paraId="711ED19A">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⑦拆除能有效回收的含金属铜、铝、镁的部件；</w:t>
            </w:r>
          </w:p>
          <w:p w14:paraId="1129BD3E">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⑧拆除能有效回收的大型塑料件（保险杠、仪表板、液体容器等）；</w:t>
            </w:r>
          </w:p>
          <w:p w14:paraId="3ECC3054">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⑨拆除橡胶制品部件；</w:t>
            </w:r>
          </w:p>
          <w:p w14:paraId="302DB8F2">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⑩拆解其他有关总成和其他零部件。</w:t>
            </w:r>
          </w:p>
          <w:p w14:paraId="11EEF083">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⑪对大块的铁件拆下后，采用工业乙炔气体进行切割处理。</w:t>
            </w:r>
          </w:p>
          <w:p w14:paraId="6968C62E">
            <w:pPr>
              <w:spacing w:line="360" w:lineRule="auto"/>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5、分类入库</w:t>
            </w:r>
          </w:p>
          <w:p w14:paraId="464A902F">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拆解完成后，对各类拆解件进行分类存储入库。</w:t>
            </w:r>
          </w:p>
          <w:p w14:paraId="4F6C1219">
            <w:pPr>
              <w:spacing w:line="360" w:lineRule="auto"/>
              <w:ind w:firstLine="482" w:firstLineChars="200"/>
              <w:jc w:val="left"/>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报废燃油汽车拆解工序主要产污：</w:t>
            </w:r>
          </w:p>
          <w:p w14:paraId="6CDBBCA5">
            <w:pPr>
              <w:spacing w:line="360" w:lineRule="auto"/>
              <w:ind w:firstLine="480" w:firstLineChars="200"/>
              <w:jc w:val="left"/>
              <w:rPr>
                <w:rFonts w:ascii="宋体" w:hAnsi="宋体" w:eastAsia="宋体" w:cs="宋体"/>
                <w:sz w:val="24"/>
                <w:szCs w:val="24"/>
              </w:rPr>
            </w:pPr>
            <w:r>
              <w:rPr>
                <w:rFonts w:ascii="宋体" w:hAnsi="宋体" w:eastAsia="宋体" w:cs="宋体"/>
                <w:sz w:val="24"/>
                <w:szCs w:val="24"/>
              </w:rPr>
              <w:t>固体废物：拆解过程中产生的无法分离回收利用的碎塑料、碎玻璃、废织物以及其他不可利用垃圾等，在固体零散件存放仓库暂存。残余的少量废液（包括汽油、柴油、机油、润滑剂、液压油、制动液、防冻剂等）等分类收集于专用包装桶内，统一存放于危险废物暂存库。</w:t>
            </w:r>
          </w:p>
          <w:p w14:paraId="666B3744">
            <w:pPr>
              <w:spacing w:line="360" w:lineRule="auto"/>
              <w:ind w:firstLine="480" w:firstLineChars="200"/>
              <w:jc w:val="left"/>
              <w:rPr>
                <w:rFonts w:hint="eastAsia" w:ascii="宋体" w:hAnsi="宋体" w:eastAsia="宋体" w:cs="宋体"/>
                <w:sz w:val="24"/>
                <w:szCs w:val="24"/>
                <w:highlight w:val="yellow"/>
                <w:lang w:eastAsia="zh-CN"/>
              </w:rPr>
            </w:pPr>
            <w:r>
              <w:rPr>
                <w:rFonts w:ascii="宋体" w:hAnsi="宋体" w:eastAsia="宋体" w:cs="宋体"/>
                <w:sz w:val="24"/>
                <w:szCs w:val="24"/>
              </w:rPr>
              <w:t>废</w:t>
            </w:r>
            <w:r>
              <w:rPr>
                <w:rFonts w:ascii="宋体" w:hAnsi="宋体" w:eastAsia="宋体" w:cs="宋体"/>
                <w:sz w:val="24"/>
                <w:szCs w:val="24"/>
                <w:highlight w:val="none"/>
              </w:rPr>
              <w:t>水：车间地面冲洗废水及车辆清洗废水集中收集后采用油水分离器措施处理</w:t>
            </w:r>
            <w:r>
              <w:rPr>
                <w:rFonts w:hint="eastAsia" w:ascii="宋体" w:hAnsi="宋体" w:eastAsia="宋体" w:cs="宋体"/>
                <w:sz w:val="24"/>
                <w:szCs w:val="24"/>
                <w:highlight w:val="none"/>
                <w:lang w:eastAsia="zh-CN"/>
              </w:rPr>
              <w:t>。</w:t>
            </w:r>
          </w:p>
          <w:p w14:paraId="63834502">
            <w:pPr>
              <w:spacing w:line="360" w:lineRule="auto"/>
              <w:ind w:firstLine="480" w:firstLineChars="200"/>
              <w:jc w:val="left"/>
              <w:rPr>
                <w:rFonts w:hint="eastAsia" w:cs="Times New Roman"/>
                <w:b w:val="0"/>
                <w:bCs w:val="0"/>
                <w:color w:val="auto"/>
                <w:kern w:val="44"/>
                <w:sz w:val="24"/>
                <w:szCs w:val="24"/>
                <w:highlight w:val="none"/>
                <w:lang w:val="en-US" w:eastAsia="zh-CN"/>
              </w:rPr>
            </w:pPr>
            <w:r>
              <w:rPr>
                <w:rFonts w:ascii="宋体" w:hAnsi="宋体" w:eastAsia="宋体" w:cs="宋体"/>
                <w:sz w:val="24"/>
                <w:szCs w:val="24"/>
              </w:rPr>
              <w:t>废气：少量残余废液收集过程中产生的废气和金属切割废气。</w:t>
            </w:r>
          </w:p>
          <w:p w14:paraId="1F361832">
            <w:pPr>
              <w:spacing w:line="360" w:lineRule="auto"/>
              <w:jc w:val="left"/>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三、产污环节汇总</w:t>
            </w:r>
          </w:p>
          <w:p w14:paraId="491F88E6">
            <w:pPr>
              <w:spacing w:line="360" w:lineRule="auto"/>
              <w:ind w:firstLine="480" w:firstLineChars="200"/>
              <w:jc w:val="left"/>
              <w:rPr>
                <w:rFonts w:hint="default" w:cs="Times New Roman"/>
                <w:b w:val="0"/>
                <w:bCs w:val="0"/>
                <w:color w:val="auto"/>
                <w:kern w:val="44"/>
                <w:sz w:val="24"/>
                <w:szCs w:val="24"/>
                <w:highlight w:val="none"/>
                <w:lang w:val="en-US" w:eastAsia="zh-CN"/>
              </w:rPr>
            </w:pPr>
            <w:r>
              <w:rPr>
                <w:rFonts w:hint="eastAsia" w:cs="Times New Roman"/>
                <w:b w:val="0"/>
                <w:bCs w:val="0"/>
                <w:color w:val="auto"/>
                <w:kern w:val="44"/>
                <w:sz w:val="24"/>
                <w:szCs w:val="24"/>
                <w:highlight w:val="none"/>
                <w:lang w:val="en-US" w:eastAsia="zh-CN"/>
              </w:rPr>
              <w:t>本项目产污环节汇总如下：</w:t>
            </w:r>
          </w:p>
          <w:p w14:paraId="0D78B06E">
            <w:pPr>
              <w:spacing w:line="360" w:lineRule="auto"/>
              <w:ind w:firstLine="482" w:firstLineChars="200"/>
              <w:jc w:val="left"/>
              <w:rPr>
                <w:rFonts w:hint="default" w:cs="Times New Roman"/>
                <w:b w:val="0"/>
                <w:bCs w:val="0"/>
                <w:color w:val="auto"/>
                <w:kern w:val="44"/>
                <w:sz w:val="24"/>
                <w:szCs w:val="24"/>
                <w:highlight w:val="none"/>
                <w:lang w:val="en-US" w:eastAsia="zh-CN"/>
              </w:rPr>
            </w:pPr>
            <w:r>
              <w:rPr>
                <w:rFonts w:hint="eastAsia" w:cs="Times New Roman"/>
                <w:b/>
                <w:bCs/>
                <w:color w:val="auto"/>
                <w:kern w:val="44"/>
                <w:sz w:val="24"/>
                <w:szCs w:val="24"/>
                <w:highlight w:val="none"/>
                <w:lang w:val="en-US" w:eastAsia="zh-CN"/>
              </w:rPr>
              <w:t>表2-7             项目产污环境汇总表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2200"/>
              <w:gridCol w:w="2451"/>
              <w:gridCol w:w="3255"/>
            </w:tblGrid>
            <w:tr w14:paraId="702E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4" w:type="pct"/>
                  <w:gridSpan w:val="2"/>
                  <w:vAlign w:val="center"/>
                </w:tcPr>
                <w:p w14:paraId="550F2DBD">
                  <w:pPr>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类别</w:t>
                  </w:r>
                </w:p>
              </w:tc>
              <w:tc>
                <w:tcPr>
                  <w:tcW w:w="1424" w:type="pct"/>
                  <w:vAlign w:val="center"/>
                </w:tcPr>
                <w:p w14:paraId="3DB3F0D4">
                  <w:pPr>
                    <w:snapToGrid w:val="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产生环节</w:t>
                  </w:r>
                </w:p>
              </w:tc>
              <w:tc>
                <w:tcPr>
                  <w:tcW w:w="1891" w:type="pct"/>
                  <w:vAlign w:val="center"/>
                </w:tcPr>
                <w:p w14:paraId="339F1BC9">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主要污染物</w:t>
                  </w:r>
                </w:p>
              </w:tc>
            </w:tr>
            <w:tr w14:paraId="7B8B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restart"/>
                  <w:vAlign w:val="center"/>
                </w:tcPr>
                <w:p w14:paraId="15F12EBC">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废水</w:t>
                  </w:r>
                </w:p>
              </w:tc>
              <w:tc>
                <w:tcPr>
                  <w:tcW w:w="1278" w:type="pct"/>
                  <w:vAlign w:val="center"/>
                </w:tcPr>
                <w:p w14:paraId="3716DB2C">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生产废水</w:t>
                  </w:r>
                </w:p>
              </w:tc>
              <w:tc>
                <w:tcPr>
                  <w:tcW w:w="1424" w:type="pct"/>
                  <w:vAlign w:val="center"/>
                </w:tcPr>
                <w:p w14:paraId="77034DE9">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车间地面冲洗废水</w:t>
                  </w:r>
                </w:p>
              </w:tc>
              <w:tc>
                <w:tcPr>
                  <w:tcW w:w="1891" w:type="pct"/>
                  <w:vAlign w:val="center"/>
                </w:tcPr>
                <w:p w14:paraId="47333F5C">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COD</w:t>
                  </w:r>
                  <w:r>
                    <w:rPr>
                      <w:rFonts w:hint="eastAsia" w:cs="Times New Roman"/>
                      <w:kern w:val="0"/>
                      <w:sz w:val="21"/>
                      <w:szCs w:val="21"/>
                      <w:highlight w:val="none"/>
                      <w:vertAlign w:val="subscript"/>
                      <w:lang w:val="en-US" w:eastAsia="zh-CN"/>
                    </w:rPr>
                    <w:t>cr</w:t>
                  </w:r>
                  <w:r>
                    <w:rPr>
                      <w:rFonts w:hint="eastAsia" w:cs="Times New Roman"/>
                      <w:kern w:val="0"/>
                      <w:sz w:val="21"/>
                      <w:szCs w:val="21"/>
                      <w:highlight w:val="none"/>
                      <w:lang w:val="en-US" w:eastAsia="zh-CN"/>
                    </w:rPr>
                    <w:t>、BOD</w:t>
                  </w:r>
                  <w:r>
                    <w:rPr>
                      <w:rFonts w:hint="eastAsia" w:cs="Times New Roman"/>
                      <w:kern w:val="0"/>
                      <w:sz w:val="21"/>
                      <w:szCs w:val="21"/>
                      <w:highlight w:val="none"/>
                      <w:vertAlign w:val="subscript"/>
                      <w:lang w:val="en-US" w:eastAsia="zh-CN"/>
                    </w:rPr>
                    <w:t>5</w:t>
                  </w:r>
                  <w:r>
                    <w:rPr>
                      <w:rFonts w:hint="eastAsia" w:cs="Times New Roman"/>
                      <w:kern w:val="0"/>
                      <w:sz w:val="21"/>
                      <w:szCs w:val="21"/>
                      <w:highlight w:val="none"/>
                      <w:lang w:val="en-US" w:eastAsia="zh-CN"/>
                    </w:rPr>
                    <w:t>、SS、NH</w:t>
                  </w:r>
                  <w:r>
                    <w:rPr>
                      <w:rFonts w:hint="eastAsia" w:cs="Times New Roman"/>
                      <w:kern w:val="0"/>
                      <w:sz w:val="21"/>
                      <w:szCs w:val="21"/>
                      <w:highlight w:val="none"/>
                      <w:vertAlign w:val="subscript"/>
                      <w:lang w:val="en-US" w:eastAsia="zh-CN"/>
                    </w:rPr>
                    <w:t>3</w:t>
                  </w:r>
                  <w:r>
                    <w:rPr>
                      <w:rFonts w:hint="eastAsia" w:cs="Times New Roman"/>
                      <w:kern w:val="0"/>
                      <w:sz w:val="21"/>
                      <w:szCs w:val="21"/>
                      <w:highlight w:val="none"/>
                      <w:lang w:val="en-US" w:eastAsia="zh-CN"/>
                    </w:rPr>
                    <w:t>-N、石油类、总磷、总氮、LAS</w:t>
                  </w:r>
                </w:p>
              </w:tc>
            </w:tr>
            <w:tr w14:paraId="5148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7E30A71D">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Align w:val="center"/>
                </w:tcPr>
                <w:p w14:paraId="42711D82">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生活污水</w:t>
                  </w:r>
                </w:p>
              </w:tc>
              <w:tc>
                <w:tcPr>
                  <w:tcW w:w="1424" w:type="pct"/>
                  <w:vAlign w:val="center"/>
                </w:tcPr>
                <w:p w14:paraId="6230BA02">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厂区生活污水</w:t>
                  </w:r>
                </w:p>
              </w:tc>
              <w:tc>
                <w:tcPr>
                  <w:tcW w:w="1891" w:type="pct"/>
                  <w:vAlign w:val="center"/>
                </w:tcPr>
                <w:p w14:paraId="14526A9F">
                  <w:pPr>
                    <w:snapToGrid w:val="0"/>
                    <w:jc w:val="center"/>
                    <w:rPr>
                      <w:rFonts w:hint="eastAsia"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COD</w:t>
                  </w:r>
                  <w:r>
                    <w:rPr>
                      <w:rFonts w:hint="eastAsia" w:cs="Times New Roman"/>
                      <w:kern w:val="0"/>
                      <w:sz w:val="21"/>
                      <w:szCs w:val="21"/>
                      <w:highlight w:val="none"/>
                      <w:vertAlign w:val="subscript"/>
                      <w:lang w:val="en-US" w:eastAsia="zh-CN"/>
                    </w:rPr>
                    <w:t>cr</w:t>
                  </w:r>
                  <w:r>
                    <w:rPr>
                      <w:rFonts w:hint="eastAsia" w:cs="Times New Roman"/>
                      <w:kern w:val="0"/>
                      <w:sz w:val="21"/>
                      <w:szCs w:val="21"/>
                      <w:highlight w:val="none"/>
                      <w:lang w:val="en-US" w:eastAsia="zh-CN"/>
                    </w:rPr>
                    <w:t>、BOD</w:t>
                  </w:r>
                  <w:r>
                    <w:rPr>
                      <w:rFonts w:hint="eastAsia" w:cs="Times New Roman"/>
                      <w:kern w:val="0"/>
                      <w:sz w:val="21"/>
                      <w:szCs w:val="21"/>
                      <w:highlight w:val="none"/>
                      <w:vertAlign w:val="subscript"/>
                      <w:lang w:val="en-US" w:eastAsia="zh-CN"/>
                    </w:rPr>
                    <w:t>5</w:t>
                  </w:r>
                  <w:r>
                    <w:rPr>
                      <w:rFonts w:hint="eastAsia" w:cs="Times New Roman"/>
                      <w:kern w:val="0"/>
                      <w:sz w:val="21"/>
                      <w:szCs w:val="21"/>
                      <w:highlight w:val="none"/>
                      <w:lang w:val="en-US" w:eastAsia="zh-CN"/>
                    </w:rPr>
                    <w:t>、SS、NH</w:t>
                  </w:r>
                  <w:r>
                    <w:rPr>
                      <w:rFonts w:hint="eastAsia" w:cs="Times New Roman"/>
                      <w:kern w:val="0"/>
                      <w:sz w:val="21"/>
                      <w:szCs w:val="21"/>
                      <w:highlight w:val="none"/>
                      <w:vertAlign w:val="subscript"/>
                      <w:lang w:val="en-US" w:eastAsia="zh-CN"/>
                    </w:rPr>
                    <w:t>3</w:t>
                  </w:r>
                  <w:r>
                    <w:rPr>
                      <w:rFonts w:hint="eastAsia" w:cs="Times New Roman"/>
                      <w:kern w:val="0"/>
                      <w:sz w:val="21"/>
                      <w:szCs w:val="21"/>
                      <w:highlight w:val="none"/>
                      <w:lang w:val="en-US" w:eastAsia="zh-CN"/>
                    </w:rPr>
                    <w:t>-N</w:t>
                  </w:r>
                </w:p>
              </w:tc>
            </w:tr>
            <w:tr w14:paraId="3C52E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restart"/>
                  <w:vAlign w:val="center"/>
                </w:tcPr>
                <w:p w14:paraId="616E0470">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废气</w:t>
                  </w:r>
                </w:p>
              </w:tc>
              <w:tc>
                <w:tcPr>
                  <w:tcW w:w="1278" w:type="pct"/>
                  <w:vAlign w:val="center"/>
                </w:tcPr>
                <w:p w14:paraId="129FF37A">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废油液挥发有机废气</w:t>
                  </w:r>
                </w:p>
              </w:tc>
              <w:tc>
                <w:tcPr>
                  <w:tcW w:w="1424" w:type="pct"/>
                  <w:vAlign w:val="center"/>
                </w:tcPr>
                <w:p w14:paraId="1CCBB229">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废油液回收</w:t>
                  </w:r>
                </w:p>
              </w:tc>
              <w:tc>
                <w:tcPr>
                  <w:tcW w:w="1891" w:type="pct"/>
                  <w:vAlign w:val="center"/>
                </w:tcPr>
                <w:p w14:paraId="4D7381EA">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非甲烷总烃</w:t>
                  </w:r>
                </w:p>
              </w:tc>
            </w:tr>
            <w:tr w14:paraId="0C08B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4FBB494B">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Align w:val="center"/>
                </w:tcPr>
                <w:p w14:paraId="05BEBF86">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切割废气</w:t>
                  </w:r>
                </w:p>
              </w:tc>
              <w:tc>
                <w:tcPr>
                  <w:tcW w:w="1424" w:type="pct"/>
                  <w:vAlign w:val="center"/>
                </w:tcPr>
                <w:p w14:paraId="149D1583">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切割</w:t>
                  </w:r>
                </w:p>
              </w:tc>
              <w:tc>
                <w:tcPr>
                  <w:tcW w:w="1891" w:type="pct"/>
                  <w:vAlign w:val="center"/>
                </w:tcPr>
                <w:p w14:paraId="63053229">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颗粒物</w:t>
                  </w:r>
                </w:p>
              </w:tc>
            </w:tr>
            <w:tr w14:paraId="50CE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1FAE3ABD">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Align w:val="center"/>
                </w:tcPr>
                <w:p w14:paraId="14A7BBB2">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恶臭</w:t>
                  </w:r>
                </w:p>
              </w:tc>
              <w:tc>
                <w:tcPr>
                  <w:tcW w:w="1424" w:type="pct"/>
                  <w:vAlign w:val="center"/>
                </w:tcPr>
                <w:p w14:paraId="7A1FC073">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废物料存放</w:t>
                  </w:r>
                </w:p>
              </w:tc>
              <w:tc>
                <w:tcPr>
                  <w:tcW w:w="1891" w:type="pct"/>
                  <w:vAlign w:val="center"/>
                </w:tcPr>
                <w:p w14:paraId="685CF893">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臭气浓度</w:t>
                  </w:r>
                </w:p>
              </w:tc>
            </w:tr>
            <w:tr w14:paraId="75BC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restart"/>
                  <w:vAlign w:val="center"/>
                </w:tcPr>
                <w:p w14:paraId="059B2F13">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固废</w:t>
                  </w:r>
                </w:p>
              </w:tc>
              <w:tc>
                <w:tcPr>
                  <w:tcW w:w="1278" w:type="pct"/>
                  <w:vMerge w:val="restart"/>
                  <w:vAlign w:val="center"/>
                </w:tcPr>
                <w:p w14:paraId="42D64C29">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危险废物</w:t>
                  </w:r>
                </w:p>
              </w:tc>
              <w:tc>
                <w:tcPr>
                  <w:tcW w:w="1424" w:type="pct"/>
                  <w:vAlign w:val="center"/>
                </w:tcPr>
                <w:p w14:paraId="59A0FCD0">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废油液、废滤清器</w:t>
                  </w:r>
                </w:p>
              </w:tc>
              <w:tc>
                <w:tcPr>
                  <w:tcW w:w="1891" w:type="pct"/>
                  <w:vAlign w:val="center"/>
                </w:tcPr>
                <w:p w14:paraId="60BCDF64">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矿物油</w:t>
                  </w:r>
                </w:p>
              </w:tc>
            </w:tr>
            <w:tr w14:paraId="5C65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2D67D4B1">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169ACBB9">
                  <w:pPr>
                    <w:snapToGrid w:val="0"/>
                    <w:jc w:val="center"/>
                    <w:rPr>
                      <w:rFonts w:hint="eastAsia" w:cs="Times New Roman"/>
                      <w:kern w:val="0"/>
                      <w:sz w:val="21"/>
                      <w:szCs w:val="21"/>
                      <w:highlight w:val="none"/>
                      <w:lang w:val="en-US" w:eastAsia="zh-CN"/>
                    </w:rPr>
                  </w:pPr>
                </w:p>
              </w:tc>
              <w:tc>
                <w:tcPr>
                  <w:tcW w:w="1424" w:type="pct"/>
                  <w:vAlign w:val="center"/>
                </w:tcPr>
                <w:p w14:paraId="3C048472">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废制冷剂</w:t>
                  </w:r>
                </w:p>
              </w:tc>
              <w:tc>
                <w:tcPr>
                  <w:tcW w:w="1891" w:type="pct"/>
                  <w:vAlign w:val="center"/>
                </w:tcPr>
                <w:p w14:paraId="0DCBDC5A">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R134a</w:t>
                  </w:r>
                </w:p>
              </w:tc>
            </w:tr>
            <w:tr w14:paraId="4211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32DDE4AE">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5F99BCE0">
                  <w:pPr>
                    <w:snapToGrid w:val="0"/>
                    <w:jc w:val="center"/>
                    <w:rPr>
                      <w:rFonts w:hint="eastAsia" w:cs="Times New Roman"/>
                      <w:kern w:val="0"/>
                      <w:sz w:val="21"/>
                      <w:szCs w:val="21"/>
                      <w:highlight w:val="none"/>
                      <w:lang w:val="en-US" w:eastAsia="zh-CN"/>
                    </w:rPr>
                  </w:pPr>
                </w:p>
              </w:tc>
              <w:tc>
                <w:tcPr>
                  <w:tcW w:w="1424" w:type="pct"/>
                  <w:vAlign w:val="center"/>
                </w:tcPr>
                <w:p w14:paraId="58E0AEA8">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废催化转化器</w:t>
                  </w:r>
                </w:p>
              </w:tc>
              <w:tc>
                <w:tcPr>
                  <w:tcW w:w="1891" w:type="pct"/>
                  <w:vAlign w:val="center"/>
                </w:tcPr>
                <w:p w14:paraId="73F22EA8">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铂、钯、铑、镍等</w:t>
                  </w:r>
                </w:p>
              </w:tc>
            </w:tr>
            <w:tr w14:paraId="5C53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250D7811">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4BD2C615">
                  <w:pPr>
                    <w:snapToGrid w:val="0"/>
                    <w:jc w:val="center"/>
                    <w:rPr>
                      <w:rFonts w:hint="eastAsia" w:cs="Times New Roman"/>
                      <w:kern w:val="0"/>
                      <w:sz w:val="21"/>
                      <w:szCs w:val="21"/>
                      <w:highlight w:val="none"/>
                      <w:lang w:val="en-US" w:eastAsia="zh-CN"/>
                    </w:rPr>
                  </w:pPr>
                </w:p>
              </w:tc>
              <w:tc>
                <w:tcPr>
                  <w:tcW w:w="1424" w:type="pct"/>
                  <w:vAlign w:val="center"/>
                </w:tcPr>
                <w:p w14:paraId="49F9EB73">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废电路板、废电容器及含汞含铅部件</w:t>
                  </w:r>
                </w:p>
              </w:tc>
              <w:tc>
                <w:tcPr>
                  <w:tcW w:w="1891" w:type="pct"/>
                  <w:vAlign w:val="center"/>
                </w:tcPr>
                <w:p w14:paraId="72E835E4">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铅、铜、镍等</w:t>
                  </w:r>
                </w:p>
              </w:tc>
            </w:tr>
            <w:tr w14:paraId="59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31C6A15D">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2BB1F5D0">
                  <w:pPr>
                    <w:snapToGrid w:val="0"/>
                    <w:jc w:val="center"/>
                    <w:rPr>
                      <w:rFonts w:hint="eastAsia" w:cs="Times New Roman"/>
                      <w:kern w:val="0"/>
                      <w:sz w:val="21"/>
                      <w:szCs w:val="21"/>
                      <w:highlight w:val="none"/>
                      <w:lang w:val="en-US" w:eastAsia="zh-CN"/>
                    </w:rPr>
                  </w:pPr>
                </w:p>
              </w:tc>
              <w:tc>
                <w:tcPr>
                  <w:tcW w:w="1424" w:type="pct"/>
                  <w:vAlign w:val="center"/>
                </w:tcPr>
                <w:p w14:paraId="46056C64">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废蓄电池</w:t>
                  </w:r>
                </w:p>
              </w:tc>
              <w:tc>
                <w:tcPr>
                  <w:tcW w:w="1891" w:type="pct"/>
                  <w:vAlign w:val="center"/>
                </w:tcPr>
                <w:p w14:paraId="0F17FE47">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酸液、铅等</w:t>
                  </w:r>
                </w:p>
              </w:tc>
            </w:tr>
            <w:tr w14:paraId="0A74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6BA49ED3">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0C26B9AC">
                  <w:pPr>
                    <w:snapToGrid w:val="0"/>
                    <w:jc w:val="center"/>
                    <w:rPr>
                      <w:rFonts w:hint="eastAsia" w:cs="Times New Roman"/>
                      <w:kern w:val="0"/>
                      <w:sz w:val="21"/>
                      <w:szCs w:val="21"/>
                      <w:highlight w:val="none"/>
                      <w:lang w:val="en-US" w:eastAsia="zh-CN"/>
                    </w:rPr>
                  </w:pPr>
                </w:p>
              </w:tc>
              <w:tc>
                <w:tcPr>
                  <w:tcW w:w="1424" w:type="pct"/>
                  <w:vAlign w:val="center"/>
                </w:tcPr>
                <w:p w14:paraId="22B6EFE0">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含油手套抹布</w:t>
                  </w:r>
                </w:p>
              </w:tc>
              <w:tc>
                <w:tcPr>
                  <w:tcW w:w="1891" w:type="pct"/>
                  <w:vAlign w:val="center"/>
                </w:tcPr>
                <w:p w14:paraId="3FAD023D">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矿物油</w:t>
                  </w:r>
                </w:p>
              </w:tc>
            </w:tr>
            <w:tr w14:paraId="3983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1ED2E12D">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Merge w:val="continue"/>
                  <w:vAlign w:val="center"/>
                </w:tcPr>
                <w:p w14:paraId="066AD3A7">
                  <w:pPr>
                    <w:snapToGrid w:val="0"/>
                    <w:jc w:val="center"/>
                    <w:rPr>
                      <w:rFonts w:hint="eastAsia" w:cs="Times New Roman"/>
                      <w:kern w:val="0"/>
                      <w:sz w:val="21"/>
                      <w:szCs w:val="21"/>
                      <w:highlight w:val="none"/>
                      <w:lang w:val="en-US" w:eastAsia="zh-CN"/>
                    </w:rPr>
                  </w:pPr>
                </w:p>
              </w:tc>
              <w:tc>
                <w:tcPr>
                  <w:tcW w:w="1424" w:type="pct"/>
                  <w:vAlign w:val="center"/>
                </w:tcPr>
                <w:p w14:paraId="0F631092">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废活性炭</w:t>
                  </w:r>
                </w:p>
              </w:tc>
              <w:tc>
                <w:tcPr>
                  <w:tcW w:w="1891" w:type="pct"/>
                  <w:vAlign w:val="center"/>
                </w:tcPr>
                <w:p w14:paraId="57C2D81D">
                  <w:pPr>
                    <w:snapToGrid w:val="0"/>
                    <w:jc w:val="center"/>
                    <w:rPr>
                      <w:rFonts w:hint="eastAsia"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废活性炭</w:t>
                  </w:r>
                </w:p>
              </w:tc>
            </w:tr>
            <w:tr w14:paraId="258A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50AE4271">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Align w:val="center"/>
                </w:tcPr>
                <w:p w14:paraId="6E6376DB">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一般工业固废</w:t>
                  </w:r>
                </w:p>
              </w:tc>
              <w:tc>
                <w:tcPr>
                  <w:tcW w:w="1424" w:type="pct"/>
                  <w:vAlign w:val="center"/>
                </w:tcPr>
                <w:p w14:paraId="10D532DE">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拆解</w:t>
                  </w:r>
                </w:p>
              </w:tc>
              <w:tc>
                <w:tcPr>
                  <w:tcW w:w="1891" w:type="pct"/>
                  <w:vAlign w:val="center"/>
                </w:tcPr>
                <w:p w14:paraId="1AA21983">
                  <w:pPr>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无法回收利用的碎橡胶、碎塑料，碎玻璃、废织物等；引爆后的安全气囊；车间收集的切割烟尘。</w:t>
                  </w:r>
                </w:p>
              </w:tc>
            </w:tr>
            <w:tr w14:paraId="43D5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6" w:type="pct"/>
                  <w:vMerge w:val="continue"/>
                  <w:vAlign w:val="center"/>
                </w:tcPr>
                <w:p w14:paraId="079AA57A">
                  <w:pPr>
                    <w:snapToGrid w:val="0"/>
                    <w:jc w:val="center"/>
                    <w:rPr>
                      <w:rFonts w:hint="eastAsia" w:ascii="Times New Roman" w:hAnsi="Times New Roman" w:eastAsia="宋体" w:cs="Times New Roman"/>
                      <w:kern w:val="0"/>
                      <w:sz w:val="21"/>
                      <w:szCs w:val="21"/>
                      <w:highlight w:val="none"/>
                      <w:lang w:val="en-US" w:eastAsia="zh-CN"/>
                    </w:rPr>
                  </w:pPr>
                </w:p>
              </w:tc>
              <w:tc>
                <w:tcPr>
                  <w:tcW w:w="1278" w:type="pct"/>
                  <w:vAlign w:val="center"/>
                </w:tcPr>
                <w:p w14:paraId="287C4361">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生活垃圾</w:t>
                  </w:r>
                </w:p>
              </w:tc>
              <w:tc>
                <w:tcPr>
                  <w:tcW w:w="1424" w:type="pct"/>
                  <w:vAlign w:val="center"/>
                </w:tcPr>
                <w:p w14:paraId="02CC6D07">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职工生活</w:t>
                  </w:r>
                </w:p>
              </w:tc>
              <w:tc>
                <w:tcPr>
                  <w:tcW w:w="1891" w:type="pct"/>
                  <w:vAlign w:val="center"/>
                </w:tcPr>
                <w:p w14:paraId="61FC9C2D">
                  <w:pPr>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生活垃圾</w:t>
                  </w:r>
                </w:p>
              </w:tc>
            </w:tr>
            <w:tr w14:paraId="7390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4" w:type="pct"/>
                  <w:gridSpan w:val="2"/>
                  <w:vAlign w:val="center"/>
                </w:tcPr>
                <w:p w14:paraId="3CA2D7B3">
                  <w:pPr>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噪声</w:t>
                  </w:r>
                </w:p>
              </w:tc>
              <w:tc>
                <w:tcPr>
                  <w:tcW w:w="3315" w:type="pct"/>
                  <w:gridSpan w:val="2"/>
                  <w:vAlign w:val="center"/>
                </w:tcPr>
                <w:p w14:paraId="6FFD439C">
                  <w:pPr>
                    <w:snapToGrid w:val="0"/>
                    <w:jc w:val="center"/>
                    <w:rPr>
                      <w:rFonts w:hint="eastAsia"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机械设备噪声</w:t>
                  </w:r>
                </w:p>
              </w:tc>
            </w:tr>
          </w:tbl>
          <w:p w14:paraId="009C37CC">
            <w:pPr>
              <w:numPr>
                <w:ilvl w:val="0"/>
                <w:numId w:val="0"/>
              </w:numPr>
              <w:spacing w:line="360" w:lineRule="auto"/>
              <w:ind w:firstLine="420" w:firstLineChars="200"/>
              <w:rPr>
                <w:rFonts w:hint="eastAsia"/>
                <w:lang w:val="en-US" w:eastAsia="zh-CN"/>
              </w:rPr>
            </w:pPr>
          </w:p>
        </w:tc>
      </w:tr>
      <w:tr w14:paraId="424B73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57" w:hRule="atLeast"/>
          <w:jc w:val="center"/>
        </w:trPr>
        <w:tc>
          <w:tcPr>
            <w:tcW w:w="770" w:type="dxa"/>
            <w:tcBorders>
              <w:tl2br w:val="nil"/>
              <w:tr2bl w:val="nil"/>
            </w:tcBorders>
            <w:noWrap w:val="0"/>
            <w:vAlign w:val="center"/>
          </w:tcPr>
          <w:p w14:paraId="774F5BAF">
            <w:pPr>
              <w:pStyle w:val="24"/>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519" w:type="dxa"/>
            <w:tcBorders>
              <w:tl2br w:val="nil"/>
              <w:tr2bl w:val="nil"/>
            </w:tcBorders>
            <w:noWrap w:val="0"/>
            <w:vAlign w:val="center"/>
          </w:tcPr>
          <w:p w14:paraId="2BB79975">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Cs/>
                <w:color w:val="auto"/>
                <w:szCs w:val="21"/>
                <w:highlight w:val="none"/>
                <w:lang w:val="en-US" w:eastAsia="zh-CN"/>
              </w:rPr>
            </w:pPr>
            <w:bookmarkStart w:id="1" w:name="_Hlk123202829"/>
            <w:r>
              <w:rPr>
                <w:color w:val="auto"/>
                <w:sz w:val="24"/>
                <w:szCs w:val="22"/>
              </w:rPr>
              <w:t>本项目</w:t>
            </w:r>
            <w:r>
              <w:rPr>
                <w:rFonts w:hint="eastAsia"/>
                <w:color w:val="auto"/>
                <w:sz w:val="24"/>
                <w:szCs w:val="22"/>
              </w:rPr>
              <w:t>为新建项目</w:t>
            </w:r>
            <w:r>
              <w:rPr>
                <w:color w:val="auto"/>
                <w:sz w:val="24"/>
                <w:szCs w:val="22"/>
              </w:rPr>
              <w:t>，不存在与项目有关的原有环境污染问</w:t>
            </w:r>
            <w:r>
              <w:rPr>
                <w:rFonts w:hint="eastAsia"/>
                <w:color w:val="auto"/>
                <w:sz w:val="24"/>
                <w:szCs w:val="22"/>
              </w:rPr>
              <w:t>题。</w:t>
            </w:r>
            <w:bookmarkEnd w:id="1"/>
          </w:p>
        </w:tc>
      </w:tr>
    </w:tbl>
    <w:p w14:paraId="562106B2">
      <w:pPr>
        <w:pStyle w:val="24"/>
        <w:jc w:val="center"/>
        <w:outlineLvl w:val="0"/>
        <w:rPr>
          <w:rFonts w:hint="default" w:ascii="Times New Roman" w:hAnsi="Times New Roman" w:eastAsia="黑体" w:cs="Times New Roman"/>
          <w:snapToGrid w:val="0"/>
          <w:color w:val="auto"/>
          <w:sz w:val="30"/>
          <w:szCs w:val="30"/>
          <w:highlight w:val="none"/>
        </w:rPr>
        <w:sectPr>
          <w:footerReference r:id="rId5" w:type="default"/>
          <w:pgSz w:w="11907" w:h="16840"/>
          <w:pgMar w:top="1701" w:right="1417" w:bottom="2127" w:left="1417" w:header="851" w:footer="851" w:gutter="0"/>
          <w:pgBorders>
            <w:top w:val="none" w:sz="0" w:space="0"/>
            <w:left w:val="none" w:sz="0" w:space="0"/>
            <w:bottom w:val="none" w:sz="0" w:space="0"/>
            <w:right w:val="none" w:sz="0" w:space="0"/>
          </w:pgBorders>
          <w:pgNumType w:start="1"/>
          <w:cols w:space="720" w:num="1"/>
          <w:docGrid w:linePitch="312" w:charSpace="0"/>
        </w:sectPr>
      </w:pPr>
    </w:p>
    <w:p w14:paraId="597F11FD">
      <w:pPr>
        <w:pStyle w:val="24"/>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0"/>
        <w:gridCol w:w="8569"/>
      </w:tblGrid>
      <w:tr w14:paraId="2330E1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720" w:type="dxa"/>
            <w:tcBorders>
              <w:tl2br w:val="nil"/>
              <w:tr2bl w:val="nil"/>
            </w:tcBorders>
            <w:noWrap w:val="0"/>
            <w:vAlign w:val="center"/>
          </w:tcPr>
          <w:p w14:paraId="42F050EB">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区域</w:t>
            </w:r>
          </w:p>
          <w:p w14:paraId="2C25C50D">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207AB66A">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质量</w:t>
            </w:r>
          </w:p>
          <w:p w14:paraId="01DC11C5">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现状</w:t>
            </w:r>
          </w:p>
        </w:tc>
        <w:tc>
          <w:tcPr>
            <w:tcW w:w="8569" w:type="dxa"/>
            <w:tcBorders>
              <w:tl2br w:val="nil"/>
              <w:tr2bl w:val="nil"/>
            </w:tcBorders>
            <w:noWrap w:val="0"/>
            <w:vAlign w:val="center"/>
          </w:tcPr>
          <w:p w14:paraId="6B5D584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default" w:ascii="Times New Roman" w:hAnsi="Times New Roman" w:eastAsia="宋体" w:cs="Times New Roman"/>
                <w:b/>
                <w:bCs/>
                <w:color w:val="auto"/>
                <w:kern w:val="44"/>
                <w:sz w:val="24"/>
                <w:szCs w:val="24"/>
                <w:highlight w:val="none"/>
                <w:lang w:val="en-US" w:eastAsia="zh-CN"/>
              </w:rPr>
              <w:t>1 环境空气质量现状及评价</w:t>
            </w:r>
          </w:p>
          <w:p w14:paraId="47158D1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default" w:ascii="Times New Roman" w:hAnsi="Times New Roman" w:eastAsia="宋体" w:cs="Times New Roman"/>
                <w:b/>
                <w:bCs/>
                <w:color w:val="auto"/>
                <w:kern w:val="44"/>
                <w:sz w:val="24"/>
                <w:szCs w:val="24"/>
                <w:highlight w:val="none"/>
                <w:lang w:val="en-US" w:eastAsia="zh-CN"/>
              </w:rPr>
              <w:t>1.1</w:t>
            </w:r>
            <w:r>
              <w:rPr>
                <w:rFonts w:hint="eastAsia" w:cs="Times New Roman"/>
                <w:b/>
                <w:bCs/>
                <w:color w:val="auto"/>
                <w:kern w:val="44"/>
                <w:sz w:val="24"/>
                <w:szCs w:val="24"/>
                <w:highlight w:val="none"/>
                <w:lang w:val="en-US" w:eastAsia="zh-CN"/>
              </w:rPr>
              <w:t>环境空气质量现状调查</w:t>
            </w:r>
          </w:p>
          <w:p w14:paraId="5EE2F770">
            <w:pPr>
              <w:spacing w:line="360" w:lineRule="auto"/>
              <w:ind w:firstLine="480" w:firstLineChars="200"/>
              <w:rPr>
                <w:rFonts w:hint="default" w:ascii="Times New Roman" w:hAnsi="Times New Roman" w:eastAsia="宋体" w:cs="Times New Roman"/>
                <w:b w:val="0"/>
                <w:bCs w:val="0"/>
                <w:color w:val="auto"/>
                <w:kern w:val="2"/>
                <w:sz w:val="24"/>
                <w:szCs w:val="22"/>
                <w:highlight w:val="none"/>
                <w:lang w:val="en-US" w:eastAsia="zh-CN"/>
              </w:rPr>
            </w:pPr>
            <w:r>
              <w:rPr>
                <w:rFonts w:ascii="宋体" w:hAnsi="宋体" w:eastAsia="宋体" w:cs="宋体"/>
                <w:sz w:val="24"/>
                <w:szCs w:val="24"/>
              </w:rPr>
              <w:t>由于68团环境空气监测数据未公开，本次评价基本污染物SO</w:t>
            </w:r>
            <w:r>
              <w:rPr>
                <w:rFonts w:ascii="宋体" w:hAnsi="宋体" w:eastAsia="宋体" w:cs="宋体"/>
                <w:sz w:val="24"/>
                <w:szCs w:val="24"/>
                <w:vertAlign w:val="subscript"/>
              </w:rPr>
              <w:t>2</w:t>
            </w:r>
            <w:r>
              <w:rPr>
                <w:rFonts w:ascii="宋体" w:hAnsi="宋体" w:eastAsia="宋体" w:cs="宋体"/>
                <w:sz w:val="24"/>
                <w:szCs w:val="24"/>
              </w:rPr>
              <w:t>、NO</w:t>
            </w:r>
            <w:r>
              <w:rPr>
                <w:rFonts w:ascii="宋体" w:hAnsi="宋体" w:eastAsia="宋体" w:cs="宋体"/>
                <w:sz w:val="24"/>
                <w:szCs w:val="24"/>
                <w:vertAlign w:val="subscript"/>
              </w:rPr>
              <w:t>2</w:t>
            </w:r>
            <w:r>
              <w:rPr>
                <w:rFonts w:ascii="宋体" w:hAnsi="宋体" w:eastAsia="宋体" w:cs="宋体"/>
                <w:sz w:val="24"/>
                <w:szCs w:val="24"/>
              </w:rPr>
              <w:t>、PM</w:t>
            </w:r>
            <w:r>
              <w:rPr>
                <w:rFonts w:ascii="宋体" w:hAnsi="宋体" w:eastAsia="宋体" w:cs="宋体"/>
                <w:sz w:val="24"/>
                <w:szCs w:val="24"/>
                <w:vertAlign w:val="subscript"/>
              </w:rPr>
              <w:t>10</w:t>
            </w:r>
            <w:r>
              <w:rPr>
                <w:rFonts w:ascii="宋体" w:hAnsi="宋体" w:eastAsia="宋体" w:cs="宋体"/>
                <w:sz w:val="24"/>
                <w:szCs w:val="24"/>
              </w:rPr>
              <w:t>、PM</w:t>
            </w:r>
            <w:r>
              <w:rPr>
                <w:rFonts w:ascii="宋体" w:hAnsi="宋体" w:eastAsia="宋体" w:cs="宋体"/>
                <w:sz w:val="24"/>
                <w:szCs w:val="24"/>
                <w:vertAlign w:val="subscript"/>
              </w:rPr>
              <w:t>2.5</w:t>
            </w:r>
            <w:r>
              <w:rPr>
                <w:rFonts w:ascii="宋体" w:hAnsi="宋体" w:eastAsia="宋体" w:cs="宋体"/>
                <w:sz w:val="24"/>
                <w:szCs w:val="24"/>
              </w:rPr>
              <w:t>、CO和</w:t>
            </w:r>
            <w:r>
              <w:rPr>
                <w:rFonts w:hint="eastAsia" w:ascii="宋体" w:hAnsi="宋体" w:eastAsia="宋体" w:cs="宋体"/>
                <w:sz w:val="24"/>
                <w:szCs w:val="24"/>
                <w:lang w:val="en-US" w:eastAsia="zh-CN"/>
              </w:rPr>
              <w:t>O</w:t>
            </w:r>
            <w:r>
              <w:rPr>
                <w:rFonts w:ascii="宋体" w:hAnsi="宋体" w:eastAsia="宋体" w:cs="宋体"/>
                <w:sz w:val="24"/>
                <w:szCs w:val="24"/>
                <w:vertAlign w:val="subscript"/>
              </w:rPr>
              <w:t>3</w:t>
            </w:r>
            <w:r>
              <w:rPr>
                <w:rFonts w:ascii="宋体" w:hAnsi="宋体" w:eastAsia="宋体" w:cs="宋体"/>
                <w:sz w:val="24"/>
                <w:szCs w:val="24"/>
              </w:rPr>
              <w:t>的数据引用察布查尔锡伯自治县2023年度环境空气质量监测数据作为本项目环境空气现状评价基本污染物的数据来源，监测点距离本项目东侧约</w:t>
            </w:r>
            <w:r>
              <w:rPr>
                <w:rFonts w:hint="eastAsia" w:ascii="宋体" w:hAnsi="宋体" w:eastAsia="宋体" w:cs="宋体"/>
                <w:sz w:val="24"/>
                <w:szCs w:val="24"/>
                <w:lang w:val="en-US" w:eastAsia="zh-CN"/>
              </w:rPr>
              <w:t>17.1</w:t>
            </w:r>
            <w:r>
              <w:rPr>
                <w:rFonts w:ascii="宋体" w:hAnsi="宋体" w:eastAsia="宋体" w:cs="宋体"/>
                <w:sz w:val="24"/>
                <w:szCs w:val="24"/>
              </w:rPr>
              <w:t>km处，监测点数据可靠，具有较强代表性。</w:t>
            </w:r>
          </w:p>
          <w:p w14:paraId="43D40E2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1.2环境空气质量评价</w:t>
            </w:r>
          </w:p>
          <w:p w14:paraId="4F856194">
            <w:pPr>
              <w:spacing w:line="360" w:lineRule="auto"/>
              <w:ind w:firstLine="480" w:firstLineChars="200"/>
              <w:rPr>
                <w:rFonts w:hint="default" w:ascii="Times New Roman" w:hAnsi="Times New Roman" w:eastAsia="宋体"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（1）评价标准</w:t>
            </w:r>
          </w:p>
          <w:p w14:paraId="20CAA0EF">
            <w:pPr>
              <w:spacing w:line="360" w:lineRule="auto"/>
              <w:ind w:firstLine="480" w:firstLineChars="200"/>
              <w:rPr>
                <w:rFonts w:hint="default" w:ascii="Times New Roman" w:hAnsi="Times New Roman" w:eastAsia="宋体" w:cs="Times New Roman"/>
                <w:b w:val="0"/>
                <w:bCs w:val="0"/>
                <w:color w:val="auto"/>
                <w:sz w:val="24"/>
                <w:szCs w:val="22"/>
                <w:highlight w:val="none"/>
                <w:lang w:val="en-US" w:eastAsia="zh-CN"/>
              </w:rPr>
            </w:pPr>
            <w:r>
              <w:rPr>
                <w:rFonts w:hint="eastAsia" w:cs="Times New Roman"/>
                <w:b w:val="0"/>
                <w:bCs w:val="0"/>
                <w:color w:val="auto"/>
                <w:sz w:val="24"/>
                <w:szCs w:val="22"/>
                <w:highlight w:val="none"/>
                <w:lang w:val="en-US" w:eastAsia="zh-CN"/>
              </w:rPr>
              <w:t>环境空气中的</w:t>
            </w:r>
            <w:r>
              <w:rPr>
                <w:rFonts w:ascii="宋体" w:hAnsi="宋体" w:eastAsia="宋体" w:cs="宋体"/>
                <w:sz w:val="24"/>
                <w:szCs w:val="24"/>
              </w:rPr>
              <w:t>SO</w:t>
            </w:r>
            <w:r>
              <w:rPr>
                <w:rFonts w:ascii="宋体" w:hAnsi="宋体" w:eastAsia="宋体" w:cs="宋体"/>
                <w:sz w:val="24"/>
                <w:szCs w:val="24"/>
                <w:vertAlign w:val="subscript"/>
              </w:rPr>
              <w:t>2</w:t>
            </w:r>
            <w:r>
              <w:rPr>
                <w:rFonts w:ascii="宋体" w:hAnsi="宋体" w:eastAsia="宋体" w:cs="宋体"/>
                <w:sz w:val="24"/>
                <w:szCs w:val="24"/>
              </w:rPr>
              <w:t>、NO</w:t>
            </w:r>
            <w:r>
              <w:rPr>
                <w:rFonts w:ascii="宋体" w:hAnsi="宋体" w:eastAsia="宋体" w:cs="宋体"/>
                <w:sz w:val="24"/>
                <w:szCs w:val="24"/>
                <w:vertAlign w:val="subscript"/>
              </w:rPr>
              <w:t>2</w:t>
            </w:r>
            <w:r>
              <w:rPr>
                <w:rFonts w:ascii="宋体" w:hAnsi="宋体" w:eastAsia="宋体" w:cs="宋体"/>
                <w:sz w:val="24"/>
                <w:szCs w:val="24"/>
              </w:rPr>
              <w:t>、PM</w:t>
            </w:r>
            <w:r>
              <w:rPr>
                <w:rFonts w:ascii="宋体" w:hAnsi="宋体" w:eastAsia="宋体" w:cs="宋体"/>
                <w:sz w:val="24"/>
                <w:szCs w:val="24"/>
                <w:vertAlign w:val="subscript"/>
              </w:rPr>
              <w:t>10</w:t>
            </w:r>
            <w:r>
              <w:rPr>
                <w:rFonts w:ascii="宋体" w:hAnsi="宋体" w:eastAsia="宋体" w:cs="宋体"/>
                <w:sz w:val="24"/>
                <w:szCs w:val="24"/>
              </w:rPr>
              <w:t>、PM</w:t>
            </w:r>
            <w:r>
              <w:rPr>
                <w:rFonts w:ascii="宋体" w:hAnsi="宋体" w:eastAsia="宋体" w:cs="宋体"/>
                <w:sz w:val="24"/>
                <w:szCs w:val="24"/>
                <w:vertAlign w:val="subscript"/>
              </w:rPr>
              <w:t>2.5</w:t>
            </w:r>
            <w:r>
              <w:rPr>
                <w:rFonts w:ascii="宋体" w:hAnsi="宋体" w:eastAsia="宋体" w:cs="宋体"/>
                <w:sz w:val="24"/>
                <w:szCs w:val="24"/>
              </w:rPr>
              <w:t>、CO和</w:t>
            </w:r>
            <w:r>
              <w:rPr>
                <w:rFonts w:hint="eastAsia" w:ascii="宋体" w:hAnsi="宋体" w:eastAsia="宋体" w:cs="宋体"/>
                <w:sz w:val="24"/>
                <w:szCs w:val="24"/>
                <w:lang w:val="en-US" w:eastAsia="zh-CN"/>
              </w:rPr>
              <w:t>O</w:t>
            </w:r>
            <w:r>
              <w:rPr>
                <w:rFonts w:ascii="宋体" w:hAnsi="宋体" w:eastAsia="宋体" w:cs="宋体"/>
                <w:sz w:val="24"/>
                <w:szCs w:val="24"/>
                <w:vertAlign w:val="subscript"/>
              </w:rPr>
              <w:t>3</w:t>
            </w:r>
            <w:r>
              <w:rPr>
                <w:rFonts w:hint="eastAsia" w:ascii="宋体" w:hAnsi="宋体" w:cs="宋体"/>
                <w:sz w:val="24"/>
                <w:szCs w:val="24"/>
                <w:vertAlign w:val="baseline"/>
                <w:lang w:val="en-US" w:eastAsia="zh-CN"/>
              </w:rPr>
              <w:t>执行《环境空气质量标准》（GB3095-2012），标准值见下表。</w:t>
            </w:r>
          </w:p>
          <w:p w14:paraId="3B5B1CD9">
            <w:pPr>
              <w:spacing w:line="360" w:lineRule="auto"/>
              <w:ind w:firstLine="482" w:firstLineChars="200"/>
              <w:rPr>
                <w:rFonts w:hint="default" w:ascii="Times New Roman" w:hAnsi="Times New Roman" w:eastAsia="宋体" w:cs="Times New Roman"/>
                <w:b w:val="0"/>
                <w:bCs w:val="0"/>
                <w:color w:val="auto"/>
                <w:sz w:val="24"/>
                <w:szCs w:val="22"/>
                <w:highlight w:val="none"/>
                <w:lang w:val="en-US" w:eastAsia="zh-CN"/>
              </w:rPr>
            </w:pPr>
            <w:r>
              <w:rPr>
                <w:rFonts w:hint="eastAsia" w:cs="Times New Roman"/>
                <w:b/>
                <w:bCs/>
                <w:color w:val="auto"/>
                <w:sz w:val="24"/>
                <w:szCs w:val="24"/>
                <w:highlight w:val="none"/>
                <w:lang w:val="en-US" w:eastAsia="zh-CN"/>
              </w:rPr>
              <w:t xml:space="preserve">表3-1   </w:t>
            </w:r>
            <w:r>
              <w:rPr>
                <w:b/>
                <w:bCs/>
                <w:color w:val="000000"/>
                <w:sz w:val="24"/>
                <w:szCs w:val="24"/>
              </w:rPr>
              <w:t xml:space="preserve"> </w:t>
            </w:r>
            <w:r>
              <w:rPr>
                <w:rFonts w:hint="eastAsia"/>
                <w:b/>
                <w:bCs/>
                <w:color w:val="000000"/>
                <w:sz w:val="24"/>
                <w:szCs w:val="24"/>
                <w:lang w:val="en-US" w:eastAsia="zh-CN"/>
              </w:rPr>
              <w:t xml:space="preserve">   </w:t>
            </w:r>
            <w:r>
              <w:rPr>
                <w:b/>
                <w:bCs/>
                <w:color w:val="000000"/>
                <w:sz w:val="24"/>
                <w:szCs w:val="24"/>
              </w:rPr>
              <w:t>环境空气质量标准（mg/m</w:t>
            </w:r>
            <w:r>
              <w:rPr>
                <w:b/>
                <w:bCs/>
                <w:color w:val="000000"/>
                <w:sz w:val="24"/>
                <w:szCs w:val="24"/>
                <w:vertAlign w:val="superscript"/>
              </w:rPr>
              <w:t>3</w:t>
            </w:r>
            <w:r>
              <w:rPr>
                <w:b/>
                <w:bCs/>
                <w:color w:val="000000"/>
                <w:sz w:val="24"/>
                <w:szCs w:val="24"/>
              </w:rPr>
              <w:t>）（二级）</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078"/>
              <w:gridCol w:w="846"/>
              <w:gridCol w:w="1081"/>
              <w:gridCol w:w="700"/>
              <w:gridCol w:w="587"/>
              <w:gridCol w:w="388"/>
              <w:gridCol w:w="817"/>
              <w:gridCol w:w="812"/>
              <w:gridCol w:w="921"/>
            </w:tblGrid>
            <w:tr w14:paraId="68689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2" w:type="pct"/>
                  <w:noWrap w:val="0"/>
                  <w:vAlign w:val="center"/>
                </w:tcPr>
                <w:p w14:paraId="1961582F">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污染物</w:t>
                  </w:r>
                </w:p>
              </w:tc>
              <w:tc>
                <w:tcPr>
                  <w:tcW w:w="1798" w:type="pct"/>
                  <w:gridSpan w:val="3"/>
                  <w:noWrap w:val="0"/>
                  <w:vAlign w:val="center"/>
                </w:tcPr>
                <w:p w14:paraId="3BF008FC">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SO</w:t>
                  </w:r>
                  <w:r>
                    <w:rPr>
                      <w:rFonts w:hint="default" w:ascii="Times New Roman" w:hAnsi="Times New Roman" w:eastAsia="宋体" w:cs="Times New Roman"/>
                      <w:color w:val="auto"/>
                      <w:szCs w:val="21"/>
                      <w:highlight w:val="none"/>
                      <w:vertAlign w:val="subscript"/>
                      <w:lang w:val="zh-CN" w:eastAsia="zh-CN"/>
                    </w:rPr>
                    <w:t>2</w:t>
                  </w:r>
                </w:p>
              </w:tc>
              <w:tc>
                <w:tcPr>
                  <w:tcW w:w="1491" w:type="pct"/>
                  <w:gridSpan w:val="4"/>
                  <w:noWrap w:val="0"/>
                  <w:vAlign w:val="center"/>
                </w:tcPr>
                <w:p w14:paraId="7E0A63E3">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NO</w:t>
                  </w:r>
                  <w:r>
                    <w:rPr>
                      <w:rFonts w:hint="default" w:ascii="Times New Roman" w:hAnsi="Times New Roman" w:eastAsia="宋体" w:cs="Times New Roman"/>
                      <w:color w:val="auto"/>
                      <w:szCs w:val="21"/>
                      <w:highlight w:val="none"/>
                      <w:vertAlign w:val="subscript"/>
                      <w:lang w:val="zh-CN" w:eastAsia="zh-CN"/>
                    </w:rPr>
                    <w:t>2</w:t>
                  </w:r>
                </w:p>
              </w:tc>
              <w:tc>
                <w:tcPr>
                  <w:tcW w:w="1037" w:type="pct"/>
                  <w:gridSpan w:val="2"/>
                  <w:noWrap w:val="0"/>
                  <w:vAlign w:val="center"/>
                </w:tcPr>
                <w:p w14:paraId="7DE46806">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PM</w:t>
                  </w:r>
                  <w:r>
                    <w:rPr>
                      <w:rFonts w:hint="default" w:ascii="Times New Roman" w:hAnsi="Times New Roman" w:eastAsia="宋体" w:cs="Times New Roman"/>
                      <w:color w:val="auto"/>
                      <w:szCs w:val="21"/>
                      <w:highlight w:val="none"/>
                      <w:vertAlign w:val="subscript"/>
                      <w:lang w:val="zh-CN" w:eastAsia="zh-CN"/>
                    </w:rPr>
                    <w:t>10</w:t>
                  </w:r>
                </w:p>
              </w:tc>
            </w:tr>
            <w:tr w14:paraId="0C85D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72" w:type="pct"/>
                  <w:noWrap w:val="0"/>
                  <w:vAlign w:val="center"/>
                </w:tcPr>
                <w:p w14:paraId="25AB862B">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取值时</w:t>
                  </w:r>
                </w:p>
              </w:tc>
              <w:tc>
                <w:tcPr>
                  <w:tcW w:w="645" w:type="pct"/>
                  <w:noWrap w:val="0"/>
                  <w:vAlign w:val="center"/>
                </w:tcPr>
                <w:p w14:paraId="636448E2">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小时平均</w:t>
                  </w:r>
                </w:p>
              </w:tc>
              <w:tc>
                <w:tcPr>
                  <w:tcW w:w="505" w:type="pct"/>
                  <w:noWrap w:val="0"/>
                  <w:vAlign w:val="center"/>
                </w:tcPr>
                <w:p w14:paraId="4CCE58FD">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日平均</w:t>
                  </w:r>
                </w:p>
              </w:tc>
              <w:tc>
                <w:tcPr>
                  <w:tcW w:w="646" w:type="pct"/>
                  <w:noWrap w:val="0"/>
                  <w:vAlign w:val="center"/>
                </w:tcPr>
                <w:p w14:paraId="39E5C60F">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年平均</w:t>
                  </w:r>
                </w:p>
              </w:tc>
              <w:tc>
                <w:tcPr>
                  <w:tcW w:w="419" w:type="pct"/>
                  <w:noWrap w:val="0"/>
                  <w:vAlign w:val="center"/>
                </w:tcPr>
                <w:p w14:paraId="2A3B6588">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小时平均</w:t>
                  </w:r>
                </w:p>
              </w:tc>
              <w:tc>
                <w:tcPr>
                  <w:tcW w:w="583" w:type="pct"/>
                  <w:gridSpan w:val="2"/>
                  <w:noWrap w:val="0"/>
                  <w:vAlign w:val="center"/>
                </w:tcPr>
                <w:p w14:paraId="30C016EB">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日平均</w:t>
                  </w:r>
                </w:p>
              </w:tc>
              <w:tc>
                <w:tcPr>
                  <w:tcW w:w="488" w:type="pct"/>
                  <w:noWrap w:val="0"/>
                  <w:vAlign w:val="center"/>
                </w:tcPr>
                <w:p w14:paraId="1361146D">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年平均</w:t>
                  </w:r>
                </w:p>
              </w:tc>
              <w:tc>
                <w:tcPr>
                  <w:tcW w:w="486" w:type="pct"/>
                  <w:noWrap w:val="0"/>
                  <w:vAlign w:val="center"/>
                </w:tcPr>
                <w:p w14:paraId="244C47B0">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日平均</w:t>
                  </w:r>
                </w:p>
              </w:tc>
              <w:tc>
                <w:tcPr>
                  <w:tcW w:w="551" w:type="pct"/>
                  <w:noWrap w:val="0"/>
                  <w:vAlign w:val="center"/>
                </w:tcPr>
                <w:p w14:paraId="53879FAE">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年平均</w:t>
                  </w:r>
                </w:p>
              </w:tc>
            </w:tr>
            <w:tr w14:paraId="2D351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72" w:type="pct"/>
                  <w:noWrap w:val="0"/>
                  <w:vAlign w:val="center"/>
                </w:tcPr>
                <w:p w14:paraId="41751953">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浓度限值</w:t>
                  </w:r>
                </w:p>
              </w:tc>
              <w:tc>
                <w:tcPr>
                  <w:tcW w:w="645" w:type="pct"/>
                  <w:noWrap w:val="0"/>
                  <w:vAlign w:val="center"/>
                </w:tcPr>
                <w:p w14:paraId="4226BA00">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0.50</w:t>
                  </w:r>
                </w:p>
              </w:tc>
              <w:tc>
                <w:tcPr>
                  <w:tcW w:w="505" w:type="pct"/>
                  <w:noWrap w:val="0"/>
                  <w:vAlign w:val="center"/>
                </w:tcPr>
                <w:p w14:paraId="1495BC11">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0.15</w:t>
                  </w:r>
                </w:p>
              </w:tc>
              <w:tc>
                <w:tcPr>
                  <w:tcW w:w="646" w:type="pct"/>
                  <w:noWrap w:val="0"/>
                  <w:vAlign w:val="center"/>
                </w:tcPr>
                <w:p w14:paraId="3B416ACA">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0.06</w:t>
                  </w:r>
                </w:p>
              </w:tc>
              <w:tc>
                <w:tcPr>
                  <w:tcW w:w="419" w:type="pct"/>
                  <w:noWrap w:val="0"/>
                  <w:vAlign w:val="center"/>
                </w:tcPr>
                <w:p w14:paraId="63D047D3">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0.2</w:t>
                  </w:r>
                </w:p>
              </w:tc>
              <w:tc>
                <w:tcPr>
                  <w:tcW w:w="583" w:type="pct"/>
                  <w:gridSpan w:val="2"/>
                  <w:noWrap w:val="0"/>
                  <w:vAlign w:val="center"/>
                </w:tcPr>
                <w:p w14:paraId="337ABED0">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0.08</w:t>
                  </w:r>
                </w:p>
              </w:tc>
              <w:tc>
                <w:tcPr>
                  <w:tcW w:w="488" w:type="pct"/>
                  <w:noWrap w:val="0"/>
                  <w:vAlign w:val="center"/>
                </w:tcPr>
                <w:p w14:paraId="356599F2">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0.04</w:t>
                  </w:r>
                </w:p>
              </w:tc>
              <w:tc>
                <w:tcPr>
                  <w:tcW w:w="486" w:type="pct"/>
                  <w:noWrap w:val="0"/>
                  <w:vAlign w:val="center"/>
                </w:tcPr>
                <w:p w14:paraId="7C85EB29">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0.15</w:t>
                  </w:r>
                </w:p>
              </w:tc>
              <w:tc>
                <w:tcPr>
                  <w:tcW w:w="551" w:type="pct"/>
                  <w:noWrap w:val="0"/>
                  <w:vAlign w:val="center"/>
                </w:tcPr>
                <w:p w14:paraId="033E8DED">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0.07</w:t>
                  </w:r>
                </w:p>
              </w:tc>
            </w:tr>
            <w:tr w14:paraId="78341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72" w:type="pct"/>
                  <w:noWrap w:val="0"/>
                  <w:vAlign w:val="center"/>
                </w:tcPr>
                <w:p w14:paraId="6E6E3C23">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污染物</w:t>
                  </w:r>
                </w:p>
              </w:tc>
              <w:tc>
                <w:tcPr>
                  <w:tcW w:w="1798" w:type="pct"/>
                  <w:gridSpan w:val="3"/>
                  <w:noWrap w:val="0"/>
                  <w:vAlign w:val="center"/>
                </w:tcPr>
                <w:p w14:paraId="32FCD56B">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O</w:t>
                  </w:r>
                  <w:r>
                    <w:rPr>
                      <w:rFonts w:hint="default" w:ascii="Times New Roman" w:hAnsi="Times New Roman" w:eastAsia="宋体" w:cs="Times New Roman"/>
                      <w:color w:val="auto"/>
                      <w:szCs w:val="21"/>
                      <w:highlight w:val="none"/>
                      <w:vertAlign w:val="subscript"/>
                      <w:lang w:val="zh-CN" w:eastAsia="zh-CN"/>
                    </w:rPr>
                    <w:t>3</w:t>
                  </w:r>
                </w:p>
              </w:tc>
              <w:tc>
                <w:tcPr>
                  <w:tcW w:w="1491" w:type="pct"/>
                  <w:gridSpan w:val="4"/>
                  <w:noWrap w:val="0"/>
                  <w:vAlign w:val="center"/>
                </w:tcPr>
                <w:p w14:paraId="6E1F29A9">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CO</w:t>
                  </w:r>
                </w:p>
              </w:tc>
              <w:tc>
                <w:tcPr>
                  <w:tcW w:w="1037" w:type="pct"/>
                  <w:gridSpan w:val="2"/>
                  <w:noWrap w:val="0"/>
                  <w:vAlign w:val="center"/>
                </w:tcPr>
                <w:p w14:paraId="41A536C7">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PM</w:t>
                  </w:r>
                  <w:r>
                    <w:rPr>
                      <w:rFonts w:hint="default" w:ascii="Times New Roman" w:hAnsi="Times New Roman" w:eastAsia="宋体" w:cs="Times New Roman"/>
                      <w:color w:val="auto"/>
                      <w:szCs w:val="21"/>
                      <w:highlight w:val="none"/>
                      <w:vertAlign w:val="subscript"/>
                      <w:lang w:val="zh-CN" w:eastAsia="zh-CN"/>
                    </w:rPr>
                    <w:t>2.5</w:t>
                  </w:r>
                </w:p>
              </w:tc>
            </w:tr>
            <w:tr w14:paraId="549D9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2" w:type="pct"/>
                  <w:noWrap w:val="0"/>
                  <w:vAlign w:val="center"/>
                </w:tcPr>
                <w:p w14:paraId="37F01036">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取值时</w:t>
                  </w:r>
                </w:p>
              </w:tc>
              <w:tc>
                <w:tcPr>
                  <w:tcW w:w="1151" w:type="pct"/>
                  <w:gridSpan w:val="2"/>
                  <w:noWrap w:val="0"/>
                  <w:vAlign w:val="center"/>
                </w:tcPr>
                <w:p w14:paraId="72461E5E">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日最大8小时平均</w:t>
                  </w:r>
                </w:p>
              </w:tc>
              <w:tc>
                <w:tcPr>
                  <w:tcW w:w="646" w:type="pct"/>
                  <w:noWrap w:val="0"/>
                  <w:vAlign w:val="center"/>
                </w:tcPr>
                <w:p w14:paraId="0A67289D">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小时平均</w:t>
                  </w:r>
                </w:p>
              </w:tc>
              <w:tc>
                <w:tcPr>
                  <w:tcW w:w="770" w:type="pct"/>
                  <w:gridSpan w:val="2"/>
                  <w:noWrap w:val="0"/>
                  <w:vAlign w:val="center"/>
                </w:tcPr>
                <w:p w14:paraId="47F8259E">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小时平均</w:t>
                  </w:r>
                </w:p>
              </w:tc>
              <w:tc>
                <w:tcPr>
                  <w:tcW w:w="721" w:type="pct"/>
                  <w:gridSpan w:val="2"/>
                  <w:noWrap w:val="0"/>
                  <w:vAlign w:val="center"/>
                </w:tcPr>
                <w:p w14:paraId="38A8355B">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日平均</w:t>
                  </w:r>
                </w:p>
              </w:tc>
              <w:tc>
                <w:tcPr>
                  <w:tcW w:w="486" w:type="pct"/>
                  <w:noWrap w:val="0"/>
                  <w:vAlign w:val="center"/>
                </w:tcPr>
                <w:p w14:paraId="5771FE9D">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日平均</w:t>
                  </w:r>
                </w:p>
              </w:tc>
              <w:tc>
                <w:tcPr>
                  <w:tcW w:w="551" w:type="pct"/>
                  <w:noWrap w:val="0"/>
                  <w:vAlign w:val="center"/>
                </w:tcPr>
                <w:p w14:paraId="4E9C762A">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年平均</w:t>
                  </w:r>
                </w:p>
              </w:tc>
            </w:tr>
            <w:tr w14:paraId="0F83A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2" w:type="pct"/>
                  <w:noWrap w:val="0"/>
                  <w:vAlign w:val="center"/>
                </w:tcPr>
                <w:p w14:paraId="398F3C2E">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浓度限值</w:t>
                  </w:r>
                </w:p>
              </w:tc>
              <w:tc>
                <w:tcPr>
                  <w:tcW w:w="1151" w:type="pct"/>
                  <w:gridSpan w:val="2"/>
                  <w:noWrap w:val="0"/>
                  <w:vAlign w:val="center"/>
                </w:tcPr>
                <w:p w14:paraId="456DCB45">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0.16</w:t>
                  </w:r>
                </w:p>
              </w:tc>
              <w:tc>
                <w:tcPr>
                  <w:tcW w:w="646" w:type="pct"/>
                  <w:noWrap w:val="0"/>
                  <w:vAlign w:val="center"/>
                </w:tcPr>
                <w:p w14:paraId="1943EC24">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0.2</w:t>
                  </w:r>
                </w:p>
              </w:tc>
              <w:tc>
                <w:tcPr>
                  <w:tcW w:w="770" w:type="pct"/>
                  <w:gridSpan w:val="2"/>
                  <w:noWrap w:val="0"/>
                  <w:vAlign w:val="center"/>
                </w:tcPr>
                <w:p w14:paraId="16B9F456">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10</w:t>
                  </w:r>
                </w:p>
              </w:tc>
              <w:tc>
                <w:tcPr>
                  <w:tcW w:w="721" w:type="pct"/>
                  <w:gridSpan w:val="2"/>
                  <w:noWrap w:val="0"/>
                  <w:vAlign w:val="center"/>
                </w:tcPr>
                <w:p w14:paraId="3F29B83A">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4</w:t>
                  </w:r>
                </w:p>
              </w:tc>
              <w:tc>
                <w:tcPr>
                  <w:tcW w:w="486" w:type="pct"/>
                  <w:noWrap w:val="0"/>
                  <w:vAlign w:val="center"/>
                </w:tcPr>
                <w:p w14:paraId="7B032AEF">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0.075</w:t>
                  </w:r>
                </w:p>
              </w:tc>
              <w:tc>
                <w:tcPr>
                  <w:tcW w:w="551" w:type="pct"/>
                  <w:noWrap w:val="0"/>
                  <w:vAlign w:val="center"/>
                </w:tcPr>
                <w:p w14:paraId="0E5544B7">
                  <w:pPr>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zh-CN" w:eastAsia="zh-CN"/>
                    </w:rPr>
                    <w:t>0.035</w:t>
                  </w:r>
                </w:p>
              </w:tc>
            </w:tr>
          </w:tbl>
          <w:p w14:paraId="49FA97DB">
            <w:pPr>
              <w:spacing w:line="360" w:lineRule="auto"/>
              <w:ind w:firstLine="480" w:firstLineChars="200"/>
              <w:rPr>
                <w:bCs/>
                <w:color w:val="000000"/>
                <w:sz w:val="24"/>
              </w:rPr>
            </w:pPr>
            <w:r>
              <w:rPr>
                <w:bCs/>
                <w:color w:val="000000"/>
                <w:sz w:val="24"/>
              </w:rPr>
              <w:t>（2）评价方法</w:t>
            </w:r>
          </w:p>
          <w:p w14:paraId="68F0B80C">
            <w:pPr>
              <w:spacing w:line="360" w:lineRule="auto"/>
              <w:ind w:firstLine="480" w:firstLineChars="200"/>
              <w:rPr>
                <w:bCs/>
                <w:color w:val="000000"/>
                <w:sz w:val="24"/>
              </w:rPr>
            </w:pPr>
            <w:r>
              <w:rPr>
                <w:bCs/>
                <w:color w:val="000000"/>
                <w:sz w:val="24"/>
              </w:rPr>
              <w:t>选用占标率进行评价，公式为：</w:t>
            </w:r>
          </w:p>
          <w:p w14:paraId="35F044EA">
            <w:pPr>
              <w:spacing w:line="360" w:lineRule="auto"/>
              <w:ind w:firstLine="3360" w:firstLineChars="1400"/>
              <w:rPr>
                <w:bCs/>
                <w:color w:val="000000"/>
                <w:sz w:val="24"/>
                <w:vertAlign w:val="subscript"/>
              </w:rPr>
            </w:pPr>
            <w:r>
              <w:rPr>
                <w:bCs/>
                <w:color w:val="000000"/>
                <w:sz w:val="24"/>
              </w:rPr>
              <w:t>P</w:t>
            </w:r>
            <w:r>
              <w:rPr>
                <w:bCs/>
                <w:color w:val="000000"/>
                <w:sz w:val="24"/>
                <w:vertAlign w:val="subscript"/>
              </w:rPr>
              <w:t>i</w:t>
            </w:r>
            <w:r>
              <w:rPr>
                <w:bCs/>
                <w:color w:val="000000"/>
                <w:sz w:val="24"/>
              </w:rPr>
              <w:t>＝C</w:t>
            </w:r>
            <w:r>
              <w:rPr>
                <w:bCs/>
                <w:color w:val="000000"/>
                <w:sz w:val="24"/>
                <w:vertAlign w:val="subscript"/>
              </w:rPr>
              <w:t>i</w:t>
            </w:r>
            <w:r>
              <w:rPr>
                <w:bCs/>
                <w:color w:val="000000"/>
                <w:sz w:val="24"/>
              </w:rPr>
              <w:t>/C</w:t>
            </w:r>
            <w:r>
              <w:rPr>
                <w:bCs/>
                <w:color w:val="000000"/>
                <w:sz w:val="24"/>
                <w:vertAlign w:val="subscript"/>
              </w:rPr>
              <w:t>oi</w:t>
            </w:r>
          </w:p>
          <w:p w14:paraId="6AE523EF">
            <w:pPr>
              <w:spacing w:line="360" w:lineRule="auto"/>
              <w:ind w:firstLine="480" w:firstLineChars="200"/>
              <w:rPr>
                <w:bCs/>
                <w:color w:val="000000"/>
                <w:sz w:val="24"/>
              </w:rPr>
            </w:pPr>
            <w:r>
              <w:rPr>
                <w:bCs/>
                <w:color w:val="000000"/>
                <w:sz w:val="24"/>
              </w:rPr>
              <w:t>式中，P</w:t>
            </w:r>
            <w:r>
              <w:rPr>
                <w:bCs/>
                <w:color w:val="000000"/>
                <w:sz w:val="24"/>
                <w:vertAlign w:val="subscript"/>
              </w:rPr>
              <w:t>i</w:t>
            </w:r>
            <w:r>
              <w:rPr>
                <w:bCs/>
                <w:color w:val="000000"/>
                <w:sz w:val="24"/>
              </w:rPr>
              <w:t>－i第i个污染物的质量浓度占标率，%；</w:t>
            </w:r>
          </w:p>
          <w:p w14:paraId="2C290A34">
            <w:pPr>
              <w:spacing w:line="360" w:lineRule="auto"/>
              <w:ind w:firstLine="480" w:firstLineChars="200"/>
              <w:rPr>
                <w:bCs/>
                <w:color w:val="000000"/>
                <w:sz w:val="24"/>
              </w:rPr>
            </w:pPr>
            <w:r>
              <w:rPr>
                <w:bCs/>
                <w:color w:val="000000"/>
                <w:sz w:val="24"/>
              </w:rPr>
              <w:t>C</w:t>
            </w:r>
            <w:r>
              <w:rPr>
                <w:bCs/>
                <w:color w:val="000000"/>
                <w:sz w:val="24"/>
                <w:vertAlign w:val="subscript"/>
              </w:rPr>
              <w:t>i</w:t>
            </w:r>
            <w:r>
              <w:rPr>
                <w:bCs/>
                <w:color w:val="000000"/>
                <w:sz w:val="24"/>
              </w:rPr>
              <w:t>－i污染物的浓度，mg/m</w:t>
            </w:r>
            <w:r>
              <w:rPr>
                <w:bCs/>
                <w:color w:val="000000"/>
                <w:sz w:val="24"/>
                <w:vertAlign w:val="superscript"/>
              </w:rPr>
              <w:t>3</w:t>
            </w:r>
            <w:r>
              <w:rPr>
                <w:bCs/>
                <w:color w:val="000000"/>
                <w:sz w:val="24"/>
              </w:rPr>
              <w:t>（标准状态）；</w:t>
            </w:r>
          </w:p>
          <w:p w14:paraId="371A0C6B">
            <w:pPr>
              <w:spacing w:line="360" w:lineRule="auto"/>
              <w:ind w:firstLine="480" w:firstLineChars="200"/>
              <w:rPr>
                <w:bCs/>
                <w:color w:val="000000"/>
                <w:sz w:val="24"/>
              </w:rPr>
            </w:pPr>
            <w:r>
              <w:rPr>
                <w:bCs/>
                <w:color w:val="000000"/>
                <w:sz w:val="24"/>
              </w:rPr>
              <w:t>C</w:t>
            </w:r>
            <w:r>
              <w:rPr>
                <w:bCs/>
                <w:color w:val="000000"/>
                <w:sz w:val="24"/>
                <w:vertAlign w:val="subscript"/>
              </w:rPr>
              <w:t>oi</w:t>
            </w:r>
            <w:r>
              <w:rPr>
                <w:bCs/>
                <w:color w:val="000000"/>
                <w:sz w:val="24"/>
              </w:rPr>
              <w:t>－i污染物的质量标准，mg/m</w:t>
            </w:r>
            <w:r>
              <w:rPr>
                <w:bCs/>
                <w:color w:val="000000"/>
                <w:sz w:val="24"/>
                <w:vertAlign w:val="superscript"/>
              </w:rPr>
              <w:t>3</w:t>
            </w:r>
            <w:r>
              <w:rPr>
                <w:bCs/>
                <w:color w:val="000000"/>
                <w:sz w:val="24"/>
              </w:rPr>
              <w:t>（标准状态）。</w:t>
            </w:r>
          </w:p>
          <w:p w14:paraId="700D238C">
            <w:pPr>
              <w:spacing w:line="360" w:lineRule="auto"/>
              <w:ind w:firstLine="480" w:firstLineChars="200"/>
              <w:rPr>
                <w:bCs/>
                <w:color w:val="000000"/>
                <w:sz w:val="24"/>
              </w:rPr>
            </w:pPr>
            <w:r>
              <w:rPr>
                <w:bCs/>
                <w:color w:val="000000"/>
                <w:sz w:val="24"/>
              </w:rPr>
              <w:t>（3）评价结果</w:t>
            </w:r>
          </w:p>
          <w:p w14:paraId="46BF3CF8">
            <w:pPr>
              <w:spacing w:line="360" w:lineRule="auto"/>
              <w:ind w:firstLine="480" w:firstLineChars="200"/>
              <w:rPr>
                <w:bCs/>
                <w:color w:val="000000"/>
                <w:sz w:val="24"/>
              </w:rPr>
            </w:pPr>
            <w:r>
              <w:rPr>
                <w:bCs/>
                <w:color w:val="000000"/>
                <w:sz w:val="24"/>
              </w:rPr>
              <w:t>根据202</w:t>
            </w:r>
            <w:r>
              <w:rPr>
                <w:rFonts w:hint="eastAsia"/>
                <w:bCs/>
                <w:color w:val="000000"/>
                <w:sz w:val="24"/>
                <w:lang w:val="en-US" w:eastAsia="zh-CN"/>
              </w:rPr>
              <w:t>3</w:t>
            </w:r>
            <w:r>
              <w:rPr>
                <w:bCs/>
                <w:color w:val="000000"/>
                <w:sz w:val="24"/>
              </w:rPr>
              <w:t>年</w:t>
            </w:r>
            <w:r>
              <w:rPr>
                <w:rFonts w:hint="eastAsia"/>
                <w:bCs/>
                <w:color w:val="000000"/>
                <w:sz w:val="24"/>
                <w:lang w:val="en-US" w:eastAsia="zh-CN"/>
              </w:rPr>
              <w:t>度环境空气质量监测数据，空气质量达标区判定结果见表3-2</w:t>
            </w:r>
            <w:r>
              <w:rPr>
                <w:bCs/>
                <w:color w:val="000000"/>
                <w:sz w:val="24"/>
              </w:rPr>
              <w:t>。</w:t>
            </w:r>
          </w:p>
          <w:p w14:paraId="633FD65B">
            <w:pPr>
              <w:pStyle w:val="36"/>
            </w:pPr>
          </w:p>
          <w:p w14:paraId="16B63D5A">
            <w:pPr>
              <w:ind w:firstLine="422" w:firstLineChars="200"/>
              <w:rPr>
                <w:b/>
                <w:bCs/>
                <w:color w:val="000000"/>
                <w:szCs w:val="21"/>
              </w:rPr>
            </w:pPr>
            <w:r>
              <w:rPr>
                <w:b/>
                <w:bCs/>
                <w:color w:val="000000"/>
                <w:szCs w:val="21"/>
              </w:rPr>
              <w:t>表3-</w:t>
            </w:r>
            <w:r>
              <w:rPr>
                <w:rFonts w:hint="eastAsia"/>
                <w:b/>
                <w:bCs/>
                <w:color w:val="000000"/>
                <w:szCs w:val="21"/>
                <w:lang w:val="en-US" w:eastAsia="zh-CN"/>
              </w:rPr>
              <w:t>2</w:t>
            </w:r>
            <w:r>
              <w:rPr>
                <w:b/>
                <w:bCs/>
                <w:color w:val="000000"/>
                <w:szCs w:val="21"/>
              </w:rPr>
              <w:t xml:space="preserve">          区域空气质量现状评价结果一览表</w:t>
            </w:r>
          </w:p>
          <w:tbl>
            <w:tblPr>
              <w:tblStyle w:val="28"/>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051"/>
              <w:gridCol w:w="1182"/>
              <w:gridCol w:w="1182"/>
              <w:gridCol w:w="1056"/>
              <w:gridCol w:w="1091"/>
            </w:tblGrid>
            <w:tr w14:paraId="7E98F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restart"/>
                  <w:noWrap w:val="0"/>
                  <w:vAlign w:val="center"/>
                </w:tcPr>
                <w:p w14:paraId="2696E5F2">
                  <w:pPr>
                    <w:jc w:val="center"/>
                  </w:pPr>
                  <w:r>
                    <w:t>评价</w:t>
                  </w:r>
                </w:p>
                <w:p w14:paraId="0DE3FA5F">
                  <w:pPr>
                    <w:jc w:val="center"/>
                  </w:pPr>
                  <w:r>
                    <w:t>因子</w:t>
                  </w:r>
                </w:p>
              </w:tc>
              <w:tc>
                <w:tcPr>
                  <w:tcW w:w="1843" w:type="pct"/>
                  <w:vMerge w:val="restart"/>
                  <w:noWrap w:val="0"/>
                  <w:vAlign w:val="center"/>
                </w:tcPr>
                <w:p w14:paraId="5797C2E8">
                  <w:pPr>
                    <w:jc w:val="center"/>
                  </w:pPr>
                  <w:r>
                    <w:t>年评价指标</w:t>
                  </w:r>
                </w:p>
              </w:tc>
              <w:tc>
                <w:tcPr>
                  <w:tcW w:w="714" w:type="pct"/>
                  <w:noWrap w:val="0"/>
                  <w:vAlign w:val="center"/>
                </w:tcPr>
                <w:p w14:paraId="706C4698">
                  <w:pPr>
                    <w:jc w:val="center"/>
                    <w:rPr>
                      <w:color w:val="auto"/>
                    </w:rPr>
                  </w:pPr>
                  <w:r>
                    <w:rPr>
                      <w:color w:val="auto"/>
                    </w:rPr>
                    <w:t>现状浓度</w:t>
                  </w:r>
                </w:p>
              </w:tc>
              <w:tc>
                <w:tcPr>
                  <w:tcW w:w="714" w:type="pct"/>
                  <w:noWrap w:val="0"/>
                  <w:vAlign w:val="center"/>
                </w:tcPr>
                <w:p w14:paraId="3AF920B5">
                  <w:pPr>
                    <w:jc w:val="center"/>
                    <w:rPr>
                      <w:color w:val="auto"/>
                    </w:rPr>
                  </w:pPr>
                  <w:r>
                    <w:rPr>
                      <w:color w:val="auto"/>
                    </w:rPr>
                    <w:t>标准限值</w:t>
                  </w:r>
                </w:p>
              </w:tc>
              <w:tc>
                <w:tcPr>
                  <w:tcW w:w="638" w:type="pct"/>
                  <w:vMerge w:val="restart"/>
                  <w:noWrap w:val="0"/>
                  <w:vAlign w:val="center"/>
                </w:tcPr>
                <w:p w14:paraId="7E6212D4">
                  <w:pPr>
                    <w:autoSpaceDE w:val="0"/>
                    <w:autoSpaceDN w:val="0"/>
                    <w:adjustRightInd w:val="0"/>
                    <w:jc w:val="center"/>
                  </w:pPr>
                  <w:r>
                    <w:t>占标率%</w:t>
                  </w:r>
                </w:p>
              </w:tc>
              <w:tc>
                <w:tcPr>
                  <w:tcW w:w="659" w:type="pct"/>
                  <w:vMerge w:val="restart"/>
                  <w:noWrap w:val="0"/>
                  <w:vAlign w:val="center"/>
                </w:tcPr>
                <w:p w14:paraId="03F401E9">
                  <w:pPr>
                    <w:autoSpaceDE w:val="0"/>
                    <w:autoSpaceDN w:val="0"/>
                    <w:adjustRightInd w:val="0"/>
                    <w:jc w:val="center"/>
                  </w:pPr>
                  <w:r>
                    <w:t>达标情况</w:t>
                  </w:r>
                </w:p>
              </w:tc>
            </w:tr>
            <w:tr w14:paraId="0391C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vMerge w:val="continue"/>
                  <w:noWrap w:val="0"/>
                  <w:vAlign w:val="center"/>
                </w:tcPr>
                <w:p w14:paraId="640878DF">
                  <w:pPr>
                    <w:jc w:val="center"/>
                  </w:pPr>
                </w:p>
              </w:tc>
              <w:tc>
                <w:tcPr>
                  <w:tcW w:w="1843" w:type="pct"/>
                  <w:vMerge w:val="continue"/>
                  <w:noWrap w:val="0"/>
                  <w:vAlign w:val="center"/>
                </w:tcPr>
                <w:p w14:paraId="2B979001">
                  <w:pPr>
                    <w:jc w:val="center"/>
                  </w:pPr>
                </w:p>
              </w:tc>
              <w:tc>
                <w:tcPr>
                  <w:tcW w:w="714" w:type="pct"/>
                  <w:noWrap w:val="0"/>
                  <w:vAlign w:val="center"/>
                </w:tcPr>
                <w:p w14:paraId="12FC99D2">
                  <w:pPr>
                    <w:jc w:val="center"/>
                    <w:rPr>
                      <w:color w:val="auto"/>
                      <w:highlight w:val="none"/>
                    </w:rPr>
                  </w:pPr>
                  <w:r>
                    <w:rPr>
                      <w:color w:val="auto"/>
                      <w:highlight w:val="none"/>
                    </w:rPr>
                    <w:t>（μg/m</w:t>
                  </w:r>
                  <w:r>
                    <w:rPr>
                      <w:color w:val="auto"/>
                      <w:highlight w:val="none"/>
                      <w:vertAlign w:val="superscript"/>
                    </w:rPr>
                    <w:t>3</w:t>
                  </w:r>
                  <w:r>
                    <w:rPr>
                      <w:color w:val="auto"/>
                      <w:highlight w:val="none"/>
                    </w:rPr>
                    <w:t>）</w:t>
                  </w:r>
                </w:p>
              </w:tc>
              <w:tc>
                <w:tcPr>
                  <w:tcW w:w="714" w:type="pct"/>
                  <w:noWrap w:val="0"/>
                  <w:vAlign w:val="center"/>
                </w:tcPr>
                <w:p w14:paraId="6A251E69">
                  <w:pPr>
                    <w:jc w:val="center"/>
                    <w:rPr>
                      <w:color w:val="auto"/>
                      <w:highlight w:val="none"/>
                    </w:rPr>
                  </w:pPr>
                  <w:r>
                    <w:rPr>
                      <w:color w:val="auto"/>
                      <w:highlight w:val="none"/>
                    </w:rPr>
                    <w:t>（μg/m</w:t>
                  </w:r>
                  <w:r>
                    <w:rPr>
                      <w:color w:val="auto"/>
                      <w:highlight w:val="none"/>
                      <w:vertAlign w:val="superscript"/>
                    </w:rPr>
                    <w:t>3</w:t>
                  </w:r>
                  <w:r>
                    <w:rPr>
                      <w:color w:val="auto"/>
                      <w:highlight w:val="none"/>
                    </w:rPr>
                    <w:t>）</w:t>
                  </w:r>
                </w:p>
              </w:tc>
              <w:tc>
                <w:tcPr>
                  <w:tcW w:w="638" w:type="pct"/>
                  <w:vMerge w:val="continue"/>
                  <w:noWrap w:val="0"/>
                  <w:vAlign w:val="center"/>
                </w:tcPr>
                <w:p w14:paraId="169A518D">
                  <w:pPr>
                    <w:autoSpaceDE w:val="0"/>
                    <w:autoSpaceDN w:val="0"/>
                    <w:adjustRightInd w:val="0"/>
                    <w:jc w:val="center"/>
                  </w:pPr>
                </w:p>
              </w:tc>
              <w:tc>
                <w:tcPr>
                  <w:tcW w:w="659" w:type="pct"/>
                  <w:vMerge w:val="continue"/>
                  <w:noWrap w:val="0"/>
                  <w:vAlign w:val="center"/>
                </w:tcPr>
                <w:p w14:paraId="65D328A9">
                  <w:pPr>
                    <w:autoSpaceDE w:val="0"/>
                    <w:autoSpaceDN w:val="0"/>
                    <w:adjustRightInd w:val="0"/>
                    <w:jc w:val="center"/>
                  </w:pPr>
                </w:p>
              </w:tc>
            </w:tr>
            <w:tr w14:paraId="15EAF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noWrap w:val="0"/>
                  <w:vAlign w:val="center"/>
                </w:tcPr>
                <w:p w14:paraId="50DC7B7A">
                  <w:pPr>
                    <w:autoSpaceDE w:val="0"/>
                    <w:autoSpaceDN w:val="0"/>
                    <w:adjustRightInd w:val="0"/>
                    <w:jc w:val="center"/>
                  </w:pPr>
                  <w:r>
                    <w:t>SO</w:t>
                  </w:r>
                  <w:r>
                    <w:rPr>
                      <w:vertAlign w:val="subscript"/>
                    </w:rPr>
                    <w:t>2</w:t>
                  </w:r>
                </w:p>
              </w:tc>
              <w:tc>
                <w:tcPr>
                  <w:tcW w:w="1843" w:type="pct"/>
                  <w:noWrap w:val="0"/>
                  <w:vAlign w:val="center"/>
                </w:tcPr>
                <w:p w14:paraId="25C1DD9A">
                  <w:pPr>
                    <w:autoSpaceDE w:val="0"/>
                    <w:autoSpaceDN w:val="0"/>
                    <w:adjustRightInd w:val="0"/>
                    <w:jc w:val="center"/>
                  </w:pPr>
                  <w:r>
                    <w:t>年平均</w:t>
                  </w:r>
                </w:p>
              </w:tc>
              <w:tc>
                <w:tcPr>
                  <w:tcW w:w="714" w:type="pct"/>
                  <w:noWrap w:val="0"/>
                  <w:vAlign w:val="center"/>
                </w:tcPr>
                <w:p w14:paraId="1CB3F9E9">
                  <w:pPr>
                    <w:autoSpaceDE w:val="0"/>
                    <w:autoSpaceDN w:val="0"/>
                    <w:adjustRightInd w:val="0"/>
                    <w:jc w:val="center"/>
                    <w:rPr>
                      <w:rFonts w:hint="default" w:eastAsia="宋体"/>
                      <w:color w:val="auto"/>
                      <w:lang w:val="en-US" w:eastAsia="zh-CN"/>
                    </w:rPr>
                  </w:pPr>
                  <w:r>
                    <w:rPr>
                      <w:rFonts w:hint="eastAsia"/>
                      <w:color w:val="auto"/>
                      <w:lang w:val="en-US" w:eastAsia="zh-CN"/>
                    </w:rPr>
                    <w:t>6.2056</w:t>
                  </w:r>
                </w:p>
              </w:tc>
              <w:tc>
                <w:tcPr>
                  <w:tcW w:w="714" w:type="pct"/>
                  <w:noWrap w:val="0"/>
                  <w:vAlign w:val="center"/>
                </w:tcPr>
                <w:p w14:paraId="06A1E062">
                  <w:pPr>
                    <w:autoSpaceDE w:val="0"/>
                    <w:autoSpaceDN w:val="0"/>
                    <w:adjustRightInd w:val="0"/>
                    <w:jc w:val="center"/>
                    <w:rPr>
                      <w:rFonts w:hint="default" w:eastAsia="宋体"/>
                      <w:color w:val="auto"/>
                      <w:lang w:val="en-US" w:eastAsia="zh-CN"/>
                    </w:rPr>
                  </w:pPr>
                  <w:r>
                    <w:rPr>
                      <w:rFonts w:hint="eastAsia"/>
                      <w:color w:val="auto"/>
                      <w:lang w:val="en-US" w:eastAsia="zh-CN"/>
                    </w:rPr>
                    <w:t>60</w:t>
                  </w:r>
                </w:p>
              </w:tc>
              <w:tc>
                <w:tcPr>
                  <w:tcW w:w="638" w:type="pct"/>
                  <w:noWrap w:val="0"/>
                  <w:vAlign w:val="center"/>
                </w:tcPr>
                <w:p w14:paraId="3C6331E8">
                  <w:pPr>
                    <w:autoSpaceDE w:val="0"/>
                    <w:autoSpaceDN w:val="0"/>
                    <w:adjustRightInd w:val="0"/>
                    <w:jc w:val="center"/>
                    <w:rPr>
                      <w:rFonts w:hint="default" w:eastAsia="宋体"/>
                      <w:lang w:val="en-US" w:eastAsia="zh-CN"/>
                    </w:rPr>
                  </w:pPr>
                  <w:r>
                    <w:rPr>
                      <w:rFonts w:hint="eastAsia"/>
                      <w:lang w:val="en-US" w:eastAsia="zh-CN"/>
                    </w:rPr>
                    <w:t>10.34</w:t>
                  </w:r>
                </w:p>
              </w:tc>
              <w:tc>
                <w:tcPr>
                  <w:tcW w:w="659" w:type="pct"/>
                  <w:noWrap w:val="0"/>
                  <w:vAlign w:val="center"/>
                </w:tcPr>
                <w:p w14:paraId="62115DF9">
                  <w:pPr>
                    <w:autoSpaceDE w:val="0"/>
                    <w:autoSpaceDN w:val="0"/>
                    <w:adjustRightInd w:val="0"/>
                    <w:jc w:val="center"/>
                  </w:pPr>
                  <w:r>
                    <w:t>达标</w:t>
                  </w:r>
                </w:p>
              </w:tc>
            </w:tr>
            <w:tr w14:paraId="1FEF2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noWrap w:val="0"/>
                  <w:vAlign w:val="center"/>
                </w:tcPr>
                <w:p w14:paraId="260C5B2B">
                  <w:pPr>
                    <w:autoSpaceDE w:val="0"/>
                    <w:autoSpaceDN w:val="0"/>
                    <w:adjustRightInd w:val="0"/>
                    <w:jc w:val="center"/>
                  </w:pPr>
                  <w:r>
                    <w:t>NO</w:t>
                  </w:r>
                  <w:r>
                    <w:rPr>
                      <w:vertAlign w:val="subscript"/>
                    </w:rPr>
                    <w:t>2</w:t>
                  </w:r>
                </w:p>
              </w:tc>
              <w:tc>
                <w:tcPr>
                  <w:tcW w:w="1843" w:type="pct"/>
                  <w:noWrap w:val="0"/>
                  <w:vAlign w:val="center"/>
                </w:tcPr>
                <w:p w14:paraId="01E35954">
                  <w:pPr>
                    <w:autoSpaceDE w:val="0"/>
                    <w:autoSpaceDN w:val="0"/>
                    <w:adjustRightInd w:val="0"/>
                    <w:jc w:val="center"/>
                  </w:pPr>
                  <w:r>
                    <w:t>年平均</w:t>
                  </w:r>
                </w:p>
              </w:tc>
              <w:tc>
                <w:tcPr>
                  <w:tcW w:w="714" w:type="pct"/>
                  <w:noWrap w:val="0"/>
                  <w:vAlign w:val="center"/>
                </w:tcPr>
                <w:p w14:paraId="43157493">
                  <w:pPr>
                    <w:autoSpaceDE w:val="0"/>
                    <w:autoSpaceDN w:val="0"/>
                    <w:adjustRightInd w:val="0"/>
                    <w:jc w:val="center"/>
                    <w:rPr>
                      <w:rFonts w:hint="default" w:eastAsia="宋体"/>
                      <w:color w:val="auto"/>
                      <w:lang w:val="en-US" w:eastAsia="zh-CN"/>
                    </w:rPr>
                  </w:pPr>
                  <w:r>
                    <w:rPr>
                      <w:rFonts w:hint="eastAsia"/>
                      <w:color w:val="auto"/>
                      <w:lang w:val="en-US" w:eastAsia="zh-CN"/>
                    </w:rPr>
                    <w:t>18.7972</w:t>
                  </w:r>
                </w:p>
              </w:tc>
              <w:tc>
                <w:tcPr>
                  <w:tcW w:w="714" w:type="pct"/>
                  <w:noWrap w:val="0"/>
                  <w:vAlign w:val="center"/>
                </w:tcPr>
                <w:p w14:paraId="655C8CD4">
                  <w:pPr>
                    <w:autoSpaceDE w:val="0"/>
                    <w:autoSpaceDN w:val="0"/>
                    <w:adjustRightInd w:val="0"/>
                    <w:jc w:val="center"/>
                    <w:rPr>
                      <w:rFonts w:hint="default" w:eastAsia="宋体"/>
                      <w:color w:val="auto"/>
                      <w:lang w:val="en-US" w:eastAsia="zh-CN"/>
                    </w:rPr>
                  </w:pPr>
                  <w:r>
                    <w:rPr>
                      <w:rFonts w:hint="eastAsia"/>
                      <w:color w:val="auto"/>
                      <w:lang w:val="en-US" w:eastAsia="zh-CN"/>
                    </w:rPr>
                    <w:t>40</w:t>
                  </w:r>
                </w:p>
              </w:tc>
              <w:tc>
                <w:tcPr>
                  <w:tcW w:w="638" w:type="pct"/>
                  <w:noWrap w:val="0"/>
                  <w:vAlign w:val="center"/>
                </w:tcPr>
                <w:p w14:paraId="0469F9C3">
                  <w:pPr>
                    <w:autoSpaceDE w:val="0"/>
                    <w:autoSpaceDN w:val="0"/>
                    <w:adjustRightInd w:val="0"/>
                    <w:jc w:val="center"/>
                    <w:rPr>
                      <w:rFonts w:hint="default" w:eastAsia="宋体"/>
                      <w:lang w:val="en-US" w:eastAsia="zh-CN"/>
                    </w:rPr>
                  </w:pPr>
                  <w:r>
                    <w:rPr>
                      <w:rFonts w:hint="eastAsia"/>
                      <w:lang w:val="en-US" w:eastAsia="zh-CN"/>
                    </w:rPr>
                    <w:t>46.99</w:t>
                  </w:r>
                </w:p>
              </w:tc>
              <w:tc>
                <w:tcPr>
                  <w:tcW w:w="659" w:type="pct"/>
                  <w:noWrap w:val="0"/>
                  <w:vAlign w:val="center"/>
                </w:tcPr>
                <w:p w14:paraId="272737A4">
                  <w:pPr>
                    <w:jc w:val="center"/>
                  </w:pPr>
                  <w:r>
                    <w:t>达标</w:t>
                  </w:r>
                </w:p>
              </w:tc>
            </w:tr>
            <w:tr w14:paraId="49BD6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shd w:val="clear" w:color="auto" w:fill="auto"/>
                  <w:noWrap w:val="0"/>
                  <w:vAlign w:val="center"/>
                </w:tcPr>
                <w:p w14:paraId="27E9665A">
                  <w:pPr>
                    <w:autoSpaceDE w:val="0"/>
                    <w:autoSpaceDN w:val="0"/>
                    <w:adjustRightInd w:val="0"/>
                    <w:jc w:val="center"/>
                    <w:rPr>
                      <w:rFonts w:ascii="Times New Roman" w:hAnsi="Times New Roman" w:eastAsia="宋体" w:cs="Times New Roman"/>
                      <w:kern w:val="2"/>
                      <w:sz w:val="21"/>
                      <w:szCs w:val="24"/>
                      <w:lang w:val="en-US" w:eastAsia="zh-CN" w:bidi="ar-SA"/>
                    </w:rPr>
                  </w:pPr>
                  <w:r>
                    <w:t>PM</w:t>
                  </w:r>
                  <w:r>
                    <w:rPr>
                      <w:vertAlign w:val="subscript"/>
                    </w:rPr>
                    <w:t>2.5</w:t>
                  </w:r>
                </w:p>
              </w:tc>
              <w:tc>
                <w:tcPr>
                  <w:tcW w:w="1843" w:type="pct"/>
                  <w:shd w:val="clear" w:color="auto" w:fill="auto"/>
                  <w:noWrap w:val="0"/>
                  <w:vAlign w:val="center"/>
                </w:tcPr>
                <w:p w14:paraId="7DC805E4">
                  <w:pPr>
                    <w:autoSpaceDE w:val="0"/>
                    <w:autoSpaceDN w:val="0"/>
                    <w:adjustRightInd w:val="0"/>
                    <w:jc w:val="center"/>
                    <w:rPr>
                      <w:rFonts w:ascii="Times New Roman" w:hAnsi="Times New Roman" w:eastAsia="宋体" w:cs="Times New Roman"/>
                      <w:kern w:val="2"/>
                      <w:sz w:val="21"/>
                      <w:szCs w:val="24"/>
                      <w:lang w:val="en-US" w:eastAsia="zh-CN" w:bidi="ar-SA"/>
                    </w:rPr>
                  </w:pPr>
                  <w:r>
                    <w:t>年平均</w:t>
                  </w:r>
                </w:p>
              </w:tc>
              <w:tc>
                <w:tcPr>
                  <w:tcW w:w="714" w:type="pct"/>
                  <w:shd w:val="clear" w:color="auto" w:fill="auto"/>
                  <w:noWrap w:val="0"/>
                  <w:vAlign w:val="center"/>
                </w:tcPr>
                <w:p w14:paraId="2D533A0C">
                  <w:pPr>
                    <w:autoSpaceDE w:val="0"/>
                    <w:autoSpaceDN w:val="0"/>
                    <w:adjustRightIn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55.4513</w:t>
                  </w:r>
                </w:p>
              </w:tc>
              <w:tc>
                <w:tcPr>
                  <w:tcW w:w="714" w:type="pct"/>
                  <w:noWrap w:val="0"/>
                  <w:vAlign w:val="center"/>
                </w:tcPr>
                <w:p w14:paraId="5AC93DF1">
                  <w:pPr>
                    <w:autoSpaceDE w:val="0"/>
                    <w:autoSpaceDN w:val="0"/>
                    <w:adjustRightInd w:val="0"/>
                    <w:jc w:val="center"/>
                    <w:rPr>
                      <w:rFonts w:hint="default" w:eastAsia="宋体"/>
                      <w:color w:val="auto"/>
                      <w:lang w:val="en-US" w:eastAsia="zh-CN"/>
                    </w:rPr>
                  </w:pPr>
                  <w:r>
                    <w:rPr>
                      <w:rFonts w:hint="eastAsia"/>
                      <w:color w:val="auto"/>
                      <w:lang w:val="en-US" w:eastAsia="zh-CN"/>
                    </w:rPr>
                    <w:t>70</w:t>
                  </w:r>
                </w:p>
              </w:tc>
              <w:tc>
                <w:tcPr>
                  <w:tcW w:w="638" w:type="pct"/>
                  <w:noWrap w:val="0"/>
                  <w:vAlign w:val="center"/>
                </w:tcPr>
                <w:p w14:paraId="64BEAC4F">
                  <w:pPr>
                    <w:autoSpaceDE w:val="0"/>
                    <w:autoSpaceDN w:val="0"/>
                    <w:adjustRightInd w:val="0"/>
                    <w:jc w:val="center"/>
                    <w:rPr>
                      <w:rFonts w:hint="default" w:eastAsia="宋体"/>
                      <w:lang w:val="en-US" w:eastAsia="zh-CN"/>
                    </w:rPr>
                  </w:pPr>
                  <w:r>
                    <w:rPr>
                      <w:rFonts w:hint="eastAsia"/>
                      <w:lang w:val="en-US" w:eastAsia="zh-CN"/>
                    </w:rPr>
                    <w:t>79.22</w:t>
                  </w:r>
                </w:p>
              </w:tc>
              <w:tc>
                <w:tcPr>
                  <w:tcW w:w="659" w:type="pct"/>
                  <w:noWrap w:val="0"/>
                  <w:vAlign w:val="center"/>
                </w:tcPr>
                <w:p w14:paraId="2C21E89C">
                  <w:pPr>
                    <w:jc w:val="center"/>
                  </w:pPr>
                  <w:r>
                    <w:t>达标</w:t>
                  </w:r>
                </w:p>
              </w:tc>
            </w:tr>
            <w:tr w14:paraId="5D99D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shd w:val="clear" w:color="auto" w:fill="auto"/>
                  <w:noWrap w:val="0"/>
                  <w:vAlign w:val="center"/>
                </w:tcPr>
                <w:p w14:paraId="5BA101F0">
                  <w:pPr>
                    <w:jc w:val="center"/>
                    <w:rPr>
                      <w:rFonts w:ascii="Times New Roman" w:hAnsi="Times New Roman" w:eastAsia="宋体" w:cs="Times New Roman"/>
                      <w:kern w:val="2"/>
                      <w:sz w:val="21"/>
                      <w:szCs w:val="24"/>
                      <w:lang w:val="en-US" w:eastAsia="zh-CN" w:bidi="ar-SA"/>
                    </w:rPr>
                  </w:pPr>
                  <w:r>
                    <w:t>PM</w:t>
                  </w:r>
                  <w:r>
                    <w:rPr>
                      <w:vertAlign w:val="subscript"/>
                    </w:rPr>
                    <w:t>10</w:t>
                  </w:r>
                </w:p>
              </w:tc>
              <w:tc>
                <w:tcPr>
                  <w:tcW w:w="1843" w:type="pct"/>
                  <w:shd w:val="clear" w:color="auto" w:fill="auto"/>
                  <w:noWrap w:val="0"/>
                  <w:vAlign w:val="center"/>
                </w:tcPr>
                <w:p w14:paraId="69235D65">
                  <w:pPr>
                    <w:autoSpaceDE w:val="0"/>
                    <w:autoSpaceDN w:val="0"/>
                    <w:adjustRightInd w:val="0"/>
                    <w:jc w:val="center"/>
                    <w:rPr>
                      <w:rFonts w:ascii="Times New Roman" w:hAnsi="Times New Roman" w:eastAsia="宋体" w:cs="Times New Roman"/>
                      <w:kern w:val="2"/>
                      <w:sz w:val="21"/>
                      <w:szCs w:val="24"/>
                      <w:lang w:val="en-US" w:eastAsia="zh-CN" w:bidi="ar-SA"/>
                    </w:rPr>
                  </w:pPr>
                  <w:r>
                    <w:t>年平均</w:t>
                  </w:r>
                </w:p>
              </w:tc>
              <w:tc>
                <w:tcPr>
                  <w:tcW w:w="714" w:type="pct"/>
                  <w:shd w:val="clear" w:color="auto" w:fill="auto"/>
                  <w:noWrap w:val="0"/>
                  <w:vAlign w:val="center"/>
                </w:tcPr>
                <w:p w14:paraId="26FBB5A5">
                  <w:pPr>
                    <w:autoSpaceDE w:val="0"/>
                    <w:autoSpaceDN w:val="0"/>
                    <w:adjustRightIn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25.1313</w:t>
                  </w:r>
                </w:p>
              </w:tc>
              <w:tc>
                <w:tcPr>
                  <w:tcW w:w="714" w:type="pct"/>
                  <w:noWrap w:val="0"/>
                  <w:vAlign w:val="center"/>
                </w:tcPr>
                <w:p w14:paraId="3B09B029">
                  <w:pPr>
                    <w:autoSpaceDE w:val="0"/>
                    <w:autoSpaceDN w:val="0"/>
                    <w:adjustRightInd w:val="0"/>
                    <w:jc w:val="center"/>
                    <w:rPr>
                      <w:rFonts w:hint="default" w:eastAsia="宋体"/>
                      <w:color w:val="auto"/>
                      <w:lang w:val="en-US" w:eastAsia="zh-CN"/>
                    </w:rPr>
                  </w:pPr>
                  <w:r>
                    <w:rPr>
                      <w:rFonts w:hint="eastAsia"/>
                      <w:color w:val="auto"/>
                      <w:lang w:val="en-US" w:eastAsia="zh-CN"/>
                    </w:rPr>
                    <w:t>35</w:t>
                  </w:r>
                </w:p>
              </w:tc>
              <w:tc>
                <w:tcPr>
                  <w:tcW w:w="638" w:type="pct"/>
                  <w:noWrap w:val="0"/>
                  <w:vAlign w:val="center"/>
                </w:tcPr>
                <w:p w14:paraId="0CA29A9A">
                  <w:pPr>
                    <w:autoSpaceDE w:val="0"/>
                    <w:autoSpaceDN w:val="0"/>
                    <w:adjustRightInd w:val="0"/>
                    <w:jc w:val="center"/>
                    <w:rPr>
                      <w:rFonts w:hint="default" w:eastAsia="宋体"/>
                      <w:lang w:val="en-US" w:eastAsia="zh-CN"/>
                    </w:rPr>
                  </w:pPr>
                  <w:r>
                    <w:rPr>
                      <w:rFonts w:hint="eastAsia"/>
                      <w:lang w:val="en-US" w:eastAsia="zh-CN"/>
                    </w:rPr>
                    <w:t>71.80</w:t>
                  </w:r>
                </w:p>
              </w:tc>
              <w:tc>
                <w:tcPr>
                  <w:tcW w:w="659" w:type="pct"/>
                  <w:noWrap w:val="0"/>
                  <w:vAlign w:val="center"/>
                </w:tcPr>
                <w:p w14:paraId="0B9D0E2B">
                  <w:pPr>
                    <w:jc w:val="center"/>
                  </w:pPr>
                  <w:r>
                    <w:t>达标</w:t>
                  </w:r>
                </w:p>
              </w:tc>
            </w:tr>
            <w:tr w14:paraId="10EB5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noWrap w:val="0"/>
                  <w:vAlign w:val="center"/>
                </w:tcPr>
                <w:p w14:paraId="76B0B2FD">
                  <w:pPr>
                    <w:autoSpaceDE w:val="0"/>
                    <w:autoSpaceDN w:val="0"/>
                    <w:adjustRightInd w:val="0"/>
                    <w:jc w:val="center"/>
                  </w:pPr>
                  <w:r>
                    <w:t>CO</w:t>
                  </w:r>
                </w:p>
              </w:tc>
              <w:tc>
                <w:tcPr>
                  <w:tcW w:w="1843" w:type="pct"/>
                  <w:noWrap w:val="0"/>
                  <w:vAlign w:val="center"/>
                </w:tcPr>
                <w:p w14:paraId="57A3FFAF">
                  <w:pPr>
                    <w:autoSpaceDE w:val="0"/>
                    <w:autoSpaceDN w:val="0"/>
                    <w:adjustRightInd w:val="0"/>
                    <w:jc w:val="center"/>
                  </w:pPr>
                  <w:r>
                    <w:t>24h的第95百分位数</w:t>
                  </w:r>
                </w:p>
              </w:tc>
              <w:tc>
                <w:tcPr>
                  <w:tcW w:w="714" w:type="pct"/>
                  <w:noWrap w:val="0"/>
                  <w:vAlign w:val="center"/>
                </w:tcPr>
                <w:p w14:paraId="44824CD4">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934.3</w:t>
                  </w:r>
                </w:p>
              </w:tc>
              <w:tc>
                <w:tcPr>
                  <w:tcW w:w="714" w:type="pct"/>
                  <w:noWrap w:val="0"/>
                  <w:vAlign w:val="center"/>
                </w:tcPr>
                <w:p w14:paraId="49E135B7">
                  <w:pPr>
                    <w:autoSpaceDE w:val="0"/>
                    <w:autoSpaceDN w:val="0"/>
                    <w:adjustRightInd w:val="0"/>
                    <w:jc w:val="center"/>
                    <w:rPr>
                      <w:rFonts w:hint="eastAsia" w:eastAsia="宋体"/>
                      <w:color w:val="auto"/>
                      <w:highlight w:val="none"/>
                      <w:lang w:val="en-US" w:eastAsia="zh-CN"/>
                    </w:rPr>
                  </w:pPr>
                  <w:r>
                    <w:rPr>
                      <w:rFonts w:hint="eastAsia"/>
                      <w:color w:val="auto"/>
                      <w:highlight w:val="none"/>
                      <w:lang w:val="en-US" w:eastAsia="zh-CN"/>
                    </w:rPr>
                    <w:t>4000</w:t>
                  </w:r>
                </w:p>
              </w:tc>
              <w:tc>
                <w:tcPr>
                  <w:tcW w:w="638" w:type="pct"/>
                  <w:noWrap w:val="0"/>
                  <w:vAlign w:val="center"/>
                </w:tcPr>
                <w:p w14:paraId="71EAF1D6">
                  <w:pPr>
                    <w:autoSpaceDE w:val="0"/>
                    <w:autoSpaceDN w:val="0"/>
                    <w:adjustRightInd w:val="0"/>
                    <w:jc w:val="center"/>
                    <w:rPr>
                      <w:rFonts w:hint="default" w:eastAsia="宋体"/>
                      <w:lang w:val="en-US" w:eastAsia="zh-CN"/>
                    </w:rPr>
                  </w:pPr>
                  <w:r>
                    <w:rPr>
                      <w:rFonts w:hint="eastAsia"/>
                      <w:lang w:val="en-US" w:eastAsia="zh-CN"/>
                    </w:rPr>
                    <w:t>23.36</w:t>
                  </w:r>
                </w:p>
              </w:tc>
              <w:tc>
                <w:tcPr>
                  <w:tcW w:w="659" w:type="pct"/>
                  <w:noWrap w:val="0"/>
                  <w:vAlign w:val="center"/>
                </w:tcPr>
                <w:p w14:paraId="3A721F5F">
                  <w:pPr>
                    <w:jc w:val="center"/>
                  </w:pPr>
                  <w:r>
                    <w:t>达标</w:t>
                  </w:r>
                </w:p>
              </w:tc>
            </w:tr>
            <w:tr w14:paraId="687C1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pct"/>
                  <w:noWrap w:val="0"/>
                  <w:vAlign w:val="center"/>
                </w:tcPr>
                <w:p w14:paraId="127F35C5">
                  <w:pPr>
                    <w:autoSpaceDE w:val="0"/>
                    <w:autoSpaceDN w:val="0"/>
                    <w:adjustRightInd w:val="0"/>
                    <w:jc w:val="center"/>
                  </w:pPr>
                  <w:r>
                    <w:t>O</w:t>
                  </w:r>
                  <w:r>
                    <w:rPr>
                      <w:vertAlign w:val="subscript"/>
                    </w:rPr>
                    <w:t>3</w:t>
                  </w:r>
                </w:p>
              </w:tc>
              <w:tc>
                <w:tcPr>
                  <w:tcW w:w="1843" w:type="pct"/>
                  <w:noWrap w:val="0"/>
                  <w:vAlign w:val="center"/>
                </w:tcPr>
                <w:p w14:paraId="5D821864">
                  <w:pPr>
                    <w:autoSpaceDE w:val="0"/>
                    <w:autoSpaceDN w:val="0"/>
                    <w:adjustRightInd w:val="0"/>
                    <w:jc w:val="center"/>
                  </w:pPr>
                  <w:r>
                    <w:t>最大8h平均值的第90百分位数</w:t>
                  </w:r>
                </w:p>
              </w:tc>
              <w:tc>
                <w:tcPr>
                  <w:tcW w:w="714" w:type="pct"/>
                  <w:noWrap w:val="0"/>
                  <w:vAlign w:val="center"/>
                </w:tcPr>
                <w:p w14:paraId="6E39E7CB">
                  <w:pPr>
                    <w:autoSpaceDE w:val="0"/>
                    <w:autoSpaceDN w:val="0"/>
                    <w:adjustRightInd w:val="0"/>
                    <w:jc w:val="center"/>
                    <w:rPr>
                      <w:rFonts w:hint="default" w:eastAsia="宋体"/>
                      <w:lang w:val="en-US" w:eastAsia="zh-CN"/>
                    </w:rPr>
                  </w:pPr>
                  <w:r>
                    <w:rPr>
                      <w:rFonts w:hint="eastAsia"/>
                      <w:lang w:val="en-US" w:eastAsia="zh-CN"/>
                    </w:rPr>
                    <w:t>90.3036</w:t>
                  </w:r>
                </w:p>
              </w:tc>
              <w:tc>
                <w:tcPr>
                  <w:tcW w:w="714" w:type="pct"/>
                  <w:noWrap w:val="0"/>
                  <w:vAlign w:val="center"/>
                </w:tcPr>
                <w:p w14:paraId="34F4BC8B">
                  <w:pPr>
                    <w:autoSpaceDE w:val="0"/>
                    <w:autoSpaceDN w:val="0"/>
                    <w:adjustRightInd w:val="0"/>
                    <w:jc w:val="center"/>
                    <w:rPr>
                      <w:rFonts w:hint="default" w:eastAsia="宋体"/>
                      <w:lang w:val="en-US" w:eastAsia="zh-CN"/>
                    </w:rPr>
                  </w:pPr>
                  <w:r>
                    <w:rPr>
                      <w:rFonts w:hint="eastAsia"/>
                      <w:lang w:val="en-US" w:eastAsia="zh-CN"/>
                    </w:rPr>
                    <w:t>160</w:t>
                  </w:r>
                </w:p>
              </w:tc>
              <w:tc>
                <w:tcPr>
                  <w:tcW w:w="638" w:type="pct"/>
                  <w:noWrap w:val="0"/>
                  <w:vAlign w:val="center"/>
                </w:tcPr>
                <w:p w14:paraId="4333B12C">
                  <w:pPr>
                    <w:autoSpaceDE w:val="0"/>
                    <w:autoSpaceDN w:val="0"/>
                    <w:adjustRightInd w:val="0"/>
                    <w:jc w:val="center"/>
                    <w:rPr>
                      <w:rFonts w:hint="default" w:eastAsia="宋体"/>
                      <w:lang w:val="en-US" w:eastAsia="zh-CN"/>
                    </w:rPr>
                  </w:pPr>
                  <w:r>
                    <w:rPr>
                      <w:rFonts w:hint="eastAsia"/>
                      <w:lang w:val="en-US" w:eastAsia="zh-CN"/>
                    </w:rPr>
                    <w:t>56.44</w:t>
                  </w:r>
                </w:p>
              </w:tc>
              <w:tc>
                <w:tcPr>
                  <w:tcW w:w="659" w:type="pct"/>
                  <w:noWrap w:val="0"/>
                  <w:vAlign w:val="center"/>
                </w:tcPr>
                <w:p w14:paraId="3EDBDE70">
                  <w:pPr>
                    <w:jc w:val="center"/>
                  </w:pPr>
                  <w:r>
                    <w:t>达标</w:t>
                  </w:r>
                </w:p>
              </w:tc>
            </w:tr>
          </w:tbl>
          <w:p w14:paraId="70F25BBB">
            <w:pPr>
              <w:spacing w:line="360" w:lineRule="auto"/>
              <w:ind w:firstLine="480" w:firstLineChars="200"/>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color w:val="auto"/>
                <w:kern w:val="2"/>
                <w:sz w:val="24"/>
                <w:szCs w:val="20"/>
                <w:highlight w:val="none"/>
                <w:lang w:val="en-US" w:eastAsia="zh-CN" w:bidi="ar-SA"/>
              </w:rPr>
              <w:t>由上表可知：项目所在区域环境空气中SO</w:t>
            </w:r>
            <w:r>
              <w:rPr>
                <w:rFonts w:hint="default" w:ascii="Times New Roman" w:hAnsi="Times New Roman" w:eastAsia="宋体" w:cs="Times New Roman"/>
                <w:color w:val="auto"/>
                <w:kern w:val="2"/>
                <w:sz w:val="24"/>
                <w:szCs w:val="20"/>
                <w:highlight w:val="none"/>
                <w:vertAlign w:val="subscript"/>
                <w:lang w:val="en-US" w:eastAsia="zh-CN" w:bidi="ar-SA"/>
              </w:rPr>
              <w:t>2</w:t>
            </w:r>
            <w:r>
              <w:rPr>
                <w:rFonts w:hint="default" w:ascii="Times New Roman" w:hAnsi="Times New Roman" w:eastAsia="宋体" w:cs="Times New Roman"/>
                <w:color w:val="auto"/>
                <w:kern w:val="2"/>
                <w:sz w:val="24"/>
                <w:szCs w:val="20"/>
                <w:highlight w:val="none"/>
                <w:lang w:val="en-US" w:eastAsia="zh-CN" w:bidi="ar-SA"/>
              </w:rPr>
              <w:t>、NO</w:t>
            </w:r>
            <w:r>
              <w:rPr>
                <w:rFonts w:hint="default" w:ascii="Times New Roman" w:hAnsi="Times New Roman" w:eastAsia="宋体" w:cs="Times New Roman"/>
                <w:color w:val="auto"/>
                <w:kern w:val="2"/>
                <w:sz w:val="24"/>
                <w:szCs w:val="20"/>
                <w:highlight w:val="none"/>
                <w:vertAlign w:val="subscript"/>
                <w:lang w:val="en-US" w:eastAsia="zh-CN" w:bidi="ar-SA"/>
              </w:rPr>
              <w:t>2</w:t>
            </w:r>
            <w:r>
              <w:rPr>
                <w:rFonts w:hint="default" w:ascii="Times New Roman" w:hAnsi="Times New Roman" w:eastAsia="宋体" w:cs="Times New Roman"/>
                <w:color w:val="auto"/>
                <w:kern w:val="2"/>
                <w:sz w:val="24"/>
                <w:szCs w:val="20"/>
                <w:highlight w:val="none"/>
                <w:lang w:val="en-US" w:eastAsia="zh-CN" w:bidi="ar-SA"/>
              </w:rPr>
              <w:t>、CO和O</w:t>
            </w:r>
            <w:r>
              <w:rPr>
                <w:rFonts w:hint="default" w:ascii="Times New Roman" w:hAnsi="Times New Roman" w:eastAsia="宋体" w:cs="Times New Roman"/>
                <w:color w:val="auto"/>
                <w:kern w:val="2"/>
                <w:sz w:val="24"/>
                <w:szCs w:val="20"/>
                <w:highlight w:val="none"/>
                <w:vertAlign w:val="subscript"/>
                <w:lang w:val="en-US" w:eastAsia="zh-CN" w:bidi="ar-SA"/>
              </w:rPr>
              <w:t>3</w:t>
            </w:r>
            <w:r>
              <w:rPr>
                <w:rFonts w:hint="default" w:ascii="Times New Roman" w:hAnsi="Times New Roman" w:eastAsia="宋体" w:cs="Times New Roman"/>
                <w:color w:val="auto"/>
                <w:kern w:val="2"/>
                <w:sz w:val="24"/>
                <w:szCs w:val="20"/>
                <w:highlight w:val="none"/>
                <w:lang w:val="en-US" w:eastAsia="zh-CN" w:bidi="ar-SA"/>
              </w:rPr>
              <w:t>的年评价指标中年均浓度和24h或日最大8h平均质量浓度均满足《环境空气质量标准》（GB3095-2012）其修改单表1中二级标准。因此区域为大气环境质量达标区</w:t>
            </w:r>
            <w:r>
              <w:rPr>
                <w:rFonts w:hint="default" w:ascii="Times New Roman" w:hAnsi="Times New Roman" w:eastAsia="宋体" w:cs="Times New Roman"/>
                <w:color w:val="auto"/>
                <w:highlight w:val="none"/>
                <w:lang w:val="en-US" w:eastAsia="zh-CN"/>
              </w:rPr>
              <w:t>。</w:t>
            </w:r>
          </w:p>
          <w:p w14:paraId="0EDDA668">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482" w:firstLineChars="200"/>
              <w:jc w:val="both"/>
              <w:textAlignment w:val="auto"/>
              <w:rPr>
                <w:rFonts w:hint="default" w:ascii="Times New Roman" w:hAnsi="Times New Roman" w:eastAsia="宋体" w:cs="Times New Roman"/>
                <w:b/>
                <w:color w:val="auto"/>
                <w:spacing w:val="0"/>
                <w:w w:val="100"/>
                <w:kern w:val="2"/>
                <w:position w:val="0"/>
                <w:sz w:val="24"/>
                <w:highlight w:val="none"/>
                <w:lang w:val="en-US" w:bidi="ar-SA"/>
              </w:rPr>
            </w:pPr>
            <w:r>
              <w:rPr>
                <w:rFonts w:hint="eastAsia" w:ascii="Times New Roman" w:hAnsi="Times New Roman" w:eastAsia="宋体" w:cs="Times New Roman"/>
                <w:b/>
                <w:color w:val="auto"/>
                <w:spacing w:val="0"/>
                <w:w w:val="100"/>
                <w:kern w:val="2"/>
                <w:position w:val="0"/>
                <w:sz w:val="24"/>
                <w:highlight w:val="none"/>
                <w:lang w:val="en-US" w:eastAsia="zh-CN" w:bidi="ar-SA"/>
              </w:rPr>
              <w:t>2、</w:t>
            </w:r>
            <w:r>
              <w:rPr>
                <w:rFonts w:hint="default" w:ascii="Times New Roman" w:hAnsi="Times New Roman" w:eastAsia="宋体" w:cs="Times New Roman"/>
                <w:b/>
                <w:color w:val="auto"/>
                <w:spacing w:val="0"/>
                <w:w w:val="100"/>
                <w:kern w:val="2"/>
                <w:position w:val="0"/>
                <w:sz w:val="24"/>
                <w:highlight w:val="none"/>
                <w:lang w:val="en-US" w:eastAsia="zh-CN" w:bidi="ar-SA"/>
              </w:rPr>
              <w:t>其他</w:t>
            </w:r>
            <w:r>
              <w:rPr>
                <w:rFonts w:hint="default" w:ascii="Times New Roman" w:hAnsi="Times New Roman" w:eastAsia="宋体" w:cs="Times New Roman"/>
                <w:b/>
                <w:color w:val="auto"/>
                <w:spacing w:val="0"/>
                <w:w w:val="100"/>
                <w:kern w:val="2"/>
                <w:position w:val="0"/>
                <w:sz w:val="24"/>
                <w:highlight w:val="none"/>
                <w:lang w:val="en-US" w:bidi="ar-SA"/>
              </w:rPr>
              <w:t>污染物</w:t>
            </w:r>
          </w:p>
          <w:p w14:paraId="194A1B45">
            <w:pPr>
              <w:keepNext w:val="0"/>
              <w:keepLines w:val="0"/>
              <w:pageBreakBefore w:val="0"/>
              <w:widowControl w:val="0"/>
              <w:kinsoku/>
              <w:wordWrap/>
              <w:overflowPunct/>
              <w:topLinePunct w:val="0"/>
              <w:autoSpaceDE/>
              <w:autoSpaceDN/>
              <w:bidi w:val="0"/>
              <w:snapToGrid/>
              <w:spacing w:before="0" w:after="0" w:line="360" w:lineRule="auto"/>
              <w:ind w:left="0" w:leftChars="0" w:right="0" w:rightChars="0" w:firstLine="480" w:firstLineChars="200"/>
              <w:jc w:val="both"/>
              <w:textAlignment w:val="auto"/>
              <w:rPr>
                <w:rFonts w:hint="eastAsia" w:ascii="Times New Roman" w:hAnsi="Times New Roman" w:eastAsia="宋体" w:cs="Times New Roman"/>
                <w:color w:val="auto"/>
                <w:spacing w:val="0"/>
                <w:w w:val="100"/>
                <w:position w:val="0"/>
                <w:sz w:val="24"/>
                <w:szCs w:val="24"/>
                <w:highlight w:val="none"/>
                <w:lang w:val="en-US" w:eastAsia="zh-CN"/>
              </w:rPr>
            </w:pPr>
            <w:r>
              <w:rPr>
                <w:rFonts w:hint="eastAsia" w:ascii="Times New Roman" w:hAnsi="Times New Roman" w:eastAsia="宋体" w:cs="Times New Roman"/>
                <w:b w:val="0"/>
                <w:bCs/>
                <w:color w:val="auto"/>
                <w:spacing w:val="0"/>
                <w:w w:val="100"/>
                <w:kern w:val="2"/>
                <w:position w:val="0"/>
                <w:sz w:val="24"/>
                <w:szCs w:val="24"/>
                <w:highlight w:val="none"/>
                <w:lang w:val="en-US" w:eastAsia="zh-CN" w:bidi="ar-SA"/>
              </w:rPr>
              <w:t>本次TSP空气环境质量现状评价</w:t>
            </w:r>
            <w:r>
              <w:rPr>
                <w:rFonts w:hint="eastAsia" w:cs="Times New Roman"/>
                <w:b w:val="0"/>
                <w:bCs/>
                <w:color w:val="auto"/>
                <w:spacing w:val="0"/>
                <w:w w:val="100"/>
                <w:kern w:val="2"/>
                <w:position w:val="0"/>
                <w:sz w:val="24"/>
                <w:szCs w:val="24"/>
                <w:highlight w:val="none"/>
                <w:lang w:val="en-US" w:eastAsia="zh-CN" w:bidi="ar-SA"/>
              </w:rPr>
              <w:t>采用新疆普京检测有限公司</w:t>
            </w:r>
            <w:r>
              <w:rPr>
                <w:rFonts w:hint="default" w:ascii="Times New Roman" w:hAnsi="Times New Roman" w:eastAsia="宋体" w:cs="Times New Roman"/>
                <w:color w:val="auto"/>
                <w:spacing w:val="0"/>
                <w:w w:val="100"/>
                <w:position w:val="0"/>
                <w:sz w:val="24"/>
                <w:szCs w:val="24"/>
                <w:highlight w:val="none"/>
              </w:rPr>
              <w:t>对</w:t>
            </w:r>
            <w:r>
              <w:rPr>
                <w:rFonts w:hint="eastAsia" w:ascii="Times New Roman" w:hAnsi="Times New Roman" w:eastAsia="宋体" w:cs="Times New Roman"/>
                <w:color w:val="auto"/>
                <w:spacing w:val="0"/>
                <w:w w:val="100"/>
                <w:position w:val="0"/>
                <w:sz w:val="24"/>
                <w:szCs w:val="24"/>
                <w:highlight w:val="none"/>
                <w:lang w:eastAsia="zh-CN"/>
              </w:rPr>
              <w:t>项目区下风向的监测结果，</w:t>
            </w:r>
            <w:r>
              <w:rPr>
                <w:rFonts w:hint="eastAsia" w:ascii="Times New Roman" w:hAnsi="Times New Roman" w:eastAsia="宋体" w:cs="Times New Roman"/>
                <w:color w:val="auto"/>
                <w:spacing w:val="0"/>
                <w:w w:val="100"/>
                <w:position w:val="0"/>
                <w:sz w:val="24"/>
                <w:szCs w:val="24"/>
                <w:highlight w:val="none"/>
                <w:lang w:val="en-US" w:eastAsia="zh-CN"/>
              </w:rPr>
              <w:t>监测布点及监测因子见表3-3，</w:t>
            </w:r>
            <w:r>
              <w:rPr>
                <w:rFonts w:hint="eastAsia" w:ascii="Times New Roman" w:hAnsi="Times New Roman" w:eastAsia="宋体" w:cs="Times New Roman"/>
                <w:color w:val="auto"/>
                <w:spacing w:val="0"/>
                <w:w w:val="100"/>
                <w:position w:val="0"/>
                <w:sz w:val="24"/>
                <w:szCs w:val="24"/>
                <w:highlight w:val="none"/>
                <w:lang w:eastAsia="zh-CN"/>
              </w:rPr>
              <w:t>监测结果见表</w:t>
            </w:r>
            <w:r>
              <w:rPr>
                <w:rFonts w:hint="eastAsia" w:ascii="Times New Roman" w:hAnsi="Times New Roman" w:eastAsia="宋体" w:cs="Times New Roman"/>
                <w:color w:val="auto"/>
                <w:spacing w:val="0"/>
                <w:w w:val="100"/>
                <w:position w:val="0"/>
                <w:sz w:val="24"/>
                <w:szCs w:val="24"/>
                <w:highlight w:val="none"/>
                <w:lang w:val="en-US" w:eastAsia="zh-CN"/>
              </w:rPr>
              <w:t>3-4，评价结果见表3-5。具体监测点位详见监测布点图</w:t>
            </w:r>
            <w:r>
              <w:rPr>
                <w:rFonts w:hint="eastAsia" w:cs="Times New Roman"/>
                <w:color w:val="auto"/>
                <w:spacing w:val="0"/>
                <w:w w:val="100"/>
                <w:position w:val="0"/>
                <w:sz w:val="24"/>
                <w:szCs w:val="24"/>
                <w:highlight w:val="none"/>
                <w:lang w:val="en-US" w:eastAsia="zh-CN"/>
              </w:rPr>
              <w:t>4</w:t>
            </w:r>
            <w:r>
              <w:rPr>
                <w:rFonts w:hint="eastAsia" w:ascii="Times New Roman" w:hAnsi="Times New Roman" w:eastAsia="宋体" w:cs="Times New Roman"/>
                <w:color w:val="auto"/>
                <w:spacing w:val="0"/>
                <w:w w:val="100"/>
                <w:position w:val="0"/>
                <w:sz w:val="24"/>
                <w:szCs w:val="24"/>
                <w:highlight w:val="none"/>
                <w:lang w:val="en-US" w:eastAsia="zh-CN"/>
              </w:rPr>
              <w:t>。</w:t>
            </w:r>
          </w:p>
          <w:p w14:paraId="068D62AF">
            <w:pPr>
              <w:keepNext w:val="0"/>
              <w:keepLines w:val="0"/>
              <w:pageBreakBefore w:val="0"/>
              <w:kinsoku/>
              <w:wordWrap/>
              <w:overflowPunct/>
              <w:topLinePunct w:val="0"/>
              <w:autoSpaceDE/>
              <w:autoSpaceDN/>
              <w:bidi w:val="0"/>
              <w:spacing w:before="0" w:after="0" w:line="360" w:lineRule="auto"/>
              <w:ind w:right="0" w:rightChars="0"/>
              <w:jc w:val="both"/>
              <w:rPr>
                <w:rFonts w:hint="default" w:ascii="Times New Roman" w:hAnsi="Times New Roman" w:eastAsia="宋体" w:cs="Times New Roman"/>
                <w:b/>
                <w:bCs w:val="0"/>
                <w:color w:val="auto"/>
                <w:spacing w:val="0"/>
                <w:w w:val="100"/>
                <w:kern w:val="2"/>
                <w:position w:val="0"/>
                <w:sz w:val="24"/>
                <w:szCs w:val="24"/>
                <w:highlight w:val="none"/>
                <w:lang w:val="en-US" w:bidi="ar-SA"/>
              </w:rPr>
            </w:pPr>
            <w:r>
              <w:rPr>
                <w:rFonts w:hint="default" w:ascii="Times New Roman" w:hAnsi="Times New Roman" w:eastAsia="宋体" w:cs="Times New Roman"/>
                <w:b/>
                <w:bCs w:val="0"/>
                <w:color w:val="auto"/>
                <w:spacing w:val="0"/>
                <w:w w:val="100"/>
                <w:kern w:val="2"/>
                <w:position w:val="0"/>
                <w:sz w:val="24"/>
                <w:szCs w:val="24"/>
                <w:highlight w:val="none"/>
                <w:lang w:val="en-US" w:bidi="ar-SA"/>
              </w:rPr>
              <w:t>表</w:t>
            </w:r>
            <w:r>
              <w:rPr>
                <w:rFonts w:hint="eastAsia" w:ascii="Times New Roman" w:hAnsi="Times New Roman" w:eastAsia="宋体" w:cs="Times New Roman"/>
                <w:b/>
                <w:bCs w:val="0"/>
                <w:color w:val="auto"/>
                <w:spacing w:val="0"/>
                <w:w w:val="100"/>
                <w:kern w:val="2"/>
                <w:position w:val="0"/>
                <w:sz w:val="24"/>
                <w:szCs w:val="24"/>
                <w:highlight w:val="none"/>
                <w:lang w:val="en-US" w:eastAsia="zh-CN" w:bidi="ar-SA"/>
              </w:rPr>
              <w:t>3-3</w:t>
            </w:r>
            <w:r>
              <w:rPr>
                <w:rFonts w:hint="default" w:ascii="Times New Roman" w:hAnsi="Times New Roman" w:eastAsia="宋体" w:cs="Times New Roman"/>
                <w:b/>
                <w:bCs w:val="0"/>
                <w:color w:val="auto"/>
                <w:spacing w:val="0"/>
                <w:w w:val="100"/>
                <w:kern w:val="2"/>
                <w:position w:val="0"/>
                <w:sz w:val="24"/>
                <w:szCs w:val="24"/>
                <w:highlight w:val="none"/>
                <w:lang w:val="en-US" w:bidi="ar-SA"/>
              </w:rPr>
              <w:t xml:space="preserve">   </w:t>
            </w:r>
            <w:r>
              <w:rPr>
                <w:rFonts w:hint="default" w:ascii="Times New Roman" w:hAnsi="Times New Roman" w:eastAsia="宋体" w:cs="Times New Roman"/>
                <w:b/>
                <w:bCs w:val="0"/>
                <w:color w:val="auto"/>
                <w:spacing w:val="0"/>
                <w:w w:val="100"/>
                <w:kern w:val="2"/>
                <w:position w:val="0"/>
                <w:sz w:val="24"/>
                <w:szCs w:val="24"/>
                <w:highlight w:val="none"/>
                <w:lang w:val="en-US" w:eastAsia="zh-CN" w:bidi="ar-SA"/>
              </w:rPr>
              <w:t xml:space="preserve">  </w:t>
            </w:r>
            <w:r>
              <w:rPr>
                <w:rFonts w:hint="eastAsia" w:ascii="Times New Roman" w:hAnsi="Times New Roman" w:eastAsia="宋体" w:cs="Times New Roman"/>
                <w:b/>
                <w:bCs w:val="0"/>
                <w:color w:val="auto"/>
                <w:spacing w:val="0"/>
                <w:w w:val="100"/>
                <w:kern w:val="2"/>
                <w:position w:val="0"/>
                <w:sz w:val="24"/>
                <w:szCs w:val="24"/>
                <w:highlight w:val="none"/>
                <w:lang w:val="en-US" w:eastAsia="zh-CN" w:bidi="ar-SA"/>
              </w:rPr>
              <w:t xml:space="preserve">       </w:t>
            </w:r>
            <w:r>
              <w:rPr>
                <w:rFonts w:hint="eastAsia" w:cs="Times New Roman"/>
                <w:b/>
                <w:bCs w:val="0"/>
                <w:color w:val="auto"/>
                <w:spacing w:val="0"/>
                <w:w w:val="100"/>
                <w:kern w:val="2"/>
                <w:position w:val="0"/>
                <w:sz w:val="24"/>
                <w:szCs w:val="24"/>
                <w:highlight w:val="none"/>
                <w:lang w:val="en-US" w:eastAsia="zh-CN" w:bidi="ar-SA"/>
              </w:rPr>
              <w:t xml:space="preserve">    </w:t>
            </w:r>
            <w:r>
              <w:rPr>
                <w:rFonts w:hint="eastAsia" w:ascii="Times New Roman" w:hAnsi="Times New Roman" w:eastAsia="宋体" w:cs="Times New Roman"/>
                <w:b/>
                <w:bCs w:val="0"/>
                <w:color w:val="auto"/>
                <w:spacing w:val="0"/>
                <w:w w:val="100"/>
                <w:kern w:val="2"/>
                <w:position w:val="0"/>
                <w:sz w:val="24"/>
                <w:szCs w:val="24"/>
                <w:highlight w:val="none"/>
                <w:lang w:val="en-US" w:eastAsia="zh-CN" w:bidi="ar-SA"/>
              </w:rPr>
              <w:t xml:space="preserve"> 监测布点及监测因子</w:t>
            </w:r>
            <w:r>
              <w:rPr>
                <w:rFonts w:hint="default" w:ascii="Times New Roman" w:hAnsi="Times New Roman" w:eastAsia="宋体" w:cs="Times New Roman"/>
                <w:b/>
                <w:bCs w:val="0"/>
                <w:color w:val="auto"/>
                <w:spacing w:val="0"/>
                <w:w w:val="100"/>
                <w:kern w:val="2"/>
                <w:position w:val="0"/>
                <w:sz w:val="24"/>
                <w:szCs w:val="24"/>
                <w:highlight w:val="none"/>
                <w:lang w:val="en-US" w:bidi="ar-SA"/>
              </w:rPr>
              <w:t>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705"/>
              <w:gridCol w:w="1453"/>
              <w:gridCol w:w="686"/>
              <w:gridCol w:w="1164"/>
              <w:gridCol w:w="1799"/>
            </w:tblGrid>
            <w:tr w14:paraId="07769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22" w:type="pct"/>
                  <w:tcBorders>
                    <w:tl2br w:val="nil"/>
                    <w:tr2bl w:val="nil"/>
                  </w:tcBorders>
                  <w:noWrap w:val="0"/>
                  <w:vAlign w:val="center"/>
                </w:tcPr>
                <w:p w14:paraId="4A8B7C4E">
                  <w:pPr>
                    <w:autoSpaceDE w:val="0"/>
                    <w:autoSpaceDN w:val="0"/>
                    <w:adjustRightIn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编号</w:t>
                  </w:r>
                </w:p>
              </w:tc>
              <w:tc>
                <w:tcPr>
                  <w:tcW w:w="1620" w:type="pct"/>
                  <w:tcBorders>
                    <w:tl2br w:val="nil"/>
                    <w:tr2bl w:val="nil"/>
                  </w:tcBorders>
                  <w:noWrap w:val="0"/>
                  <w:vAlign w:val="center"/>
                </w:tcPr>
                <w:p w14:paraId="40E4E328">
                  <w:pPr>
                    <w:autoSpaceDE w:val="0"/>
                    <w:autoSpaceDN w:val="0"/>
                    <w:adjustRightIn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监测点位</w:t>
                  </w:r>
                </w:p>
              </w:tc>
              <w:tc>
                <w:tcPr>
                  <w:tcW w:w="870" w:type="pct"/>
                  <w:tcBorders>
                    <w:tl2br w:val="nil"/>
                    <w:tr2bl w:val="nil"/>
                  </w:tcBorders>
                  <w:noWrap w:val="0"/>
                  <w:vAlign w:val="center"/>
                </w:tcPr>
                <w:p w14:paraId="43482D3B">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相对厂址位置</w:t>
                  </w:r>
                </w:p>
              </w:tc>
              <w:tc>
                <w:tcPr>
                  <w:tcW w:w="411" w:type="pct"/>
                  <w:tcBorders>
                    <w:tl2br w:val="nil"/>
                    <w:tr2bl w:val="nil"/>
                  </w:tcBorders>
                  <w:noWrap w:val="0"/>
                  <w:vAlign w:val="center"/>
                </w:tcPr>
                <w:p w14:paraId="376FE66A">
                  <w:pPr>
                    <w:autoSpaceDE w:val="0"/>
                    <w:autoSpaceDN w:val="0"/>
                    <w:adjustRightIn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距离</w:t>
                  </w:r>
                </w:p>
              </w:tc>
              <w:tc>
                <w:tcPr>
                  <w:tcW w:w="697" w:type="pct"/>
                  <w:tcBorders>
                    <w:tl2br w:val="nil"/>
                    <w:tr2bl w:val="nil"/>
                  </w:tcBorders>
                  <w:noWrap w:val="0"/>
                  <w:vAlign w:val="center"/>
                </w:tcPr>
                <w:p w14:paraId="3AA4B847">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监测因子</w:t>
                  </w:r>
                </w:p>
              </w:tc>
              <w:tc>
                <w:tcPr>
                  <w:tcW w:w="1077" w:type="pct"/>
                  <w:tcBorders>
                    <w:tl2br w:val="nil"/>
                    <w:tr2bl w:val="nil"/>
                  </w:tcBorders>
                  <w:noWrap w:val="0"/>
                  <w:vAlign w:val="center"/>
                </w:tcPr>
                <w:p w14:paraId="69C5A2D1">
                  <w:pPr>
                    <w:autoSpaceDE/>
                    <w:autoSpaceDN/>
                    <w:spacing w:before="0" w:after="0" w:line="240" w:lineRule="auto"/>
                    <w:ind w:left="0" w:right="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监测时间</w:t>
                  </w:r>
                </w:p>
              </w:tc>
            </w:tr>
            <w:tr w14:paraId="0EE3C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tcBorders>
                    <w:tl2br w:val="nil"/>
                    <w:tr2bl w:val="nil"/>
                  </w:tcBorders>
                  <w:noWrap w:val="0"/>
                  <w:vAlign w:val="center"/>
                </w:tcPr>
                <w:p w14:paraId="758BFE9B">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G1</w:t>
                  </w:r>
                </w:p>
              </w:tc>
              <w:tc>
                <w:tcPr>
                  <w:tcW w:w="1620" w:type="pct"/>
                  <w:tcBorders>
                    <w:tl2br w:val="nil"/>
                    <w:tr2bl w:val="nil"/>
                  </w:tcBorders>
                  <w:noWrap w:val="0"/>
                  <w:vAlign w:val="center"/>
                </w:tcPr>
                <w:p w14:paraId="47E83F0A">
                  <w:pPr>
                    <w:autoSpaceDE w:val="0"/>
                    <w:autoSpaceDN w:val="0"/>
                    <w:adjustRightInd w:val="0"/>
                    <w:spacing w:before="0" w:after="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E</w:t>
                  </w:r>
                  <w:r>
                    <w:rPr>
                      <w:rFonts w:hint="eastAsia" w:ascii="Times New Roman" w:hAnsi="Times New Roman" w:eastAsia="宋体" w:cs="Times New Roman"/>
                      <w:color w:val="auto"/>
                      <w:kern w:val="0"/>
                      <w:sz w:val="21"/>
                      <w:szCs w:val="21"/>
                      <w:highlight w:val="none"/>
                      <w:lang w:val="en-US" w:eastAsia="zh-CN" w:bidi="ar-SA"/>
                    </w:rPr>
                    <w:t>80°56'05.5903"</w:t>
                  </w:r>
                  <w:r>
                    <w:rPr>
                      <w:rFonts w:hint="eastAsia" w:cs="Times New Roman"/>
                      <w:color w:val="auto"/>
                      <w:kern w:val="0"/>
                      <w:sz w:val="21"/>
                      <w:szCs w:val="21"/>
                      <w:highlight w:val="none"/>
                      <w:lang w:val="en-US" w:eastAsia="zh-CN" w:bidi="ar-SA"/>
                    </w:rPr>
                    <w:t>，N</w:t>
                  </w:r>
                  <w:r>
                    <w:rPr>
                      <w:rFonts w:hint="eastAsia" w:ascii="Times New Roman" w:hAnsi="Times New Roman" w:eastAsia="宋体" w:cs="Times New Roman"/>
                      <w:color w:val="auto"/>
                      <w:kern w:val="0"/>
                      <w:sz w:val="21"/>
                      <w:szCs w:val="21"/>
                      <w:highlight w:val="none"/>
                      <w:lang w:val="en-US" w:eastAsia="zh-CN" w:bidi="ar-SA"/>
                    </w:rPr>
                    <w:t>43°52'14.8457"</w:t>
                  </w:r>
                </w:p>
              </w:tc>
              <w:tc>
                <w:tcPr>
                  <w:tcW w:w="870" w:type="pct"/>
                  <w:tcBorders>
                    <w:tl2br w:val="nil"/>
                    <w:tr2bl w:val="nil"/>
                  </w:tcBorders>
                  <w:noWrap w:val="0"/>
                  <w:vAlign w:val="center"/>
                </w:tcPr>
                <w:p w14:paraId="198D22F2">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东侧</w:t>
                  </w:r>
                </w:p>
              </w:tc>
              <w:tc>
                <w:tcPr>
                  <w:tcW w:w="411" w:type="pct"/>
                  <w:tcBorders>
                    <w:tl2br w:val="nil"/>
                    <w:tr2bl w:val="nil"/>
                  </w:tcBorders>
                  <w:noWrap w:val="0"/>
                  <w:vAlign w:val="center"/>
                </w:tcPr>
                <w:p w14:paraId="1E29BA15">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bidi="ar-SA"/>
                    </w:rPr>
                  </w:pPr>
                  <w:r>
                    <w:rPr>
                      <w:rFonts w:hint="eastAsia"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m</w:t>
                  </w:r>
                </w:p>
              </w:tc>
              <w:tc>
                <w:tcPr>
                  <w:tcW w:w="697" w:type="pct"/>
                  <w:tcBorders>
                    <w:tl2br w:val="nil"/>
                    <w:tr2bl w:val="nil"/>
                  </w:tcBorders>
                  <w:noWrap w:val="0"/>
                  <w:vAlign w:val="center"/>
                </w:tcPr>
                <w:p w14:paraId="30F7DCF0">
                  <w:pPr>
                    <w:autoSpaceDE w:val="0"/>
                    <w:autoSpaceDN w:val="0"/>
                    <w:adjustRightInd w:val="0"/>
                    <w:spacing w:before="0" w:after="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pacing w:val="0"/>
                      <w:w w:val="100"/>
                      <w:position w:val="0"/>
                      <w:sz w:val="21"/>
                      <w:szCs w:val="21"/>
                      <w:highlight w:val="none"/>
                      <w:lang w:val="en-US" w:eastAsia="zh-CN"/>
                    </w:rPr>
                    <w:t>TSP</w:t>
                  </w:r>
                </w:p>
              </w:tc>
              <w:tc>
                <w:tcPr>
                  <w:tcW w:w="1077" w:type="pct"/>
                  <w:tcBorders>
                    <w:tl2br w:val="nil"/>
                    <w:tr2bl w:val="nil"/>
                  </w:tcBorders>
                  <w:noWrap w:val="0"/>
                  <w:vAlign w:val="center"/>
                </w:tcPr>
                <w:p w14:paraId="26927BC0">
                  <w:pPr>
                    <w:autoSpaceDE/>
                    <w:autoSpaceDN/>
                    <w:spacing w:before="0" w:after="0" w:line="240" w:lineRule="auto"/>
                    <w:ind w:left="0" w:right="0"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w:t>
                  </w:r>
                  <w:r>
                    <w:rPr>
                      <w:rFonts w:hint="eastAsia" w:cs="Times New Roman"/>
                      <w:color w:val="auto"/>
                      <w:kern w:val="2"/>
                      <w:sz w:val="21"/>
                      <w:szCs w:val="21"/>
                      <w:highlight w:val="none"/>
                      <w:lang w:val="en-US" w:eastAsia="zh-CN" w:bidi="ar-SA"/>
                    </w:rPr>
                    <w:t>5.4.10-2025.4.12</w:t>
                  </w:r>
                </w:p>
              </w:tc>
            </w:tr>
          </w:tbl>
          <w:p w14:paraId="144D0630">
            <w:pPr>
              <w:keepNext w:val="0"/>
              <w:keepLines w:val="0"/>
              <w:pageBreakBefore w:val="0"/>
              <w:widowControl w:val="0"/>
              <w:kinsoku/>
              <w:wordWrap/>
              <w:overflowPunct/>
              <w:topLinePunct w:val="0"/>
              <w:autoSpaceDE w:val="0"/>
              <w:autoSpaceDN w:val="0"/>
              <w:bidi w:val="0"/>
              <w:adjustRightInd/>
              <w:snapToGrid/>
              <w:spacing w:before="0" w:after="0" w:line="520" w:lineRule="exact"/>
              <w:ind w:right="0" w:rightChars="0"/>
              <w:jc w:val="both"/>
              <w:textAlignment w:val="auto"/>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default" w:ascii="Times New Roman" w:hAnsi="Times New Roman" w:eastAsia="宋体" w:cs="Times New Roman"/>
                <w:b/>
                <w:bCs/>
                <w:color w:val="auto"/>
                <w:spacing w:val="0"/>
                <w:w w:val="100"/>
                <w:kern w:val="2"/>
                <w:position w:val="0"/>
                <w:sz w:val="24"/>
                <w:szCs w:val="22"/>
                <w:highlight w:val="none"/>
                <w:lang w:val="en-US" w:eastAsia="zh-CN" w:bidi="ar-SA"/>
              </w:rPr>
              <w:t>表</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3-4</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空气质量监测结果（</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TSP</w:t>
            </w:r>
            <w:r>
              <w:rPr>
                <w:rFonts w:hint="eastAsia" w:cs="Times New Roman"/>
                <w:b/>
                <w:bCs/>
                <w:color w:val="auto"/>
                <w:spacing w:val="0"/>
                <w:w w:val="100"/>
                <w:kern w:val="2"/>
                <w:position w:val="0"/>
                <w:sz w:val="24"/>
                <w:szCs w:val="22"/>
                <w:highlight w:val="none"/>
                <w:lang w:val="en-US" w:eastAsia="zh-CN" w:bidi="ar-SA"/>
              </w:rPr>
              <w:t>、NOx</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w:t>
            </w:r>
          </w:p>
          <w:tbl>
            <w:tblPr>
              <w:tblStyle w:val="28"/>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1682"/>
              <w:gridCol w:w="1392"/>
              <w:gridCol w:w="2038"/>
              <w:gridCol w:w="2038"/>
            </w:tblGrid>
            <w:tr w14:paraId="64750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19" w:type="pct"/>
                  <w:tcBorders>
                    <w:tl2br w:val="nil"/>
                    <w:tr2bl w:val="nil"/>
                  </w:tcBorders>
                  <w:noWrap w:val="0"/>
                  <w:vAlign w:val="center"/>
                </w:tcPr>
                <w:p w14:paraId="5E3A8187">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监测点位</w:t>
                  </w:r>
                </w:p>
              </w:tc>
              <w:tc>
                <w:tcPr>
                  <w:tcW w:w="1006" w:type="pct"/>
                  <w:tcBorders>
                    <w:tl2br w:val="nil"/>
                    <w:tr2bl w:val="nil"/>
                  </w:tcBorders>
                  <w:noWrap w:val="0"/>
                  <w:vAlign w:val="center"/>
                </w:tcPr>
                <w:p w14:paraId="7F8BA5AC">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日期</w:t>
                  </w:r>
                </w:p>
              </w:tc>
              <w:tc>
                <w:tcPr>
                  <w:tcW w:w="833" w:type="pct"/>
                  <w:tcBorders>
                    <w:tl2br w:val="nil"/>
                    <w:tr2bl w:val="nil"/>
                  </w:tcBorders>
                  <w:noWrap w:val="0"/>
                  <w:vAlign w:val="center"/>
                </w:tcPr>
                <w:p w14:paraId="4B951B06">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样品编号</w:t>
                  </w:r>
                </w:p>
              </w:tc>
              <w:tc>
                <w:tcPr>
                  <w:tcW w:w="1219" w:type="pct"/>
                  <w:tcBorders>
                    <w:tl2br w:val="nil"/>
                    <w:tr2bl w:val="nil"/>
                  </w:tcBorders>
                  <w:noWrap w:val="0"/>
                  <w:vAlign w:val="center"/>
                </w:tcPr>
                <w:p w14:paraId="71FE6C5F">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b w:val="0"/>
                      <w:bCs/>
                      <w:color w:val="auto"/>
                      <w:spacing w:val="0"/>
                      <w:w w:val="100"/>
                      <w:position w:val="0"/>
                      <w:sz w:val="21"/>
                      <w:szCs w:val="21"/>
                      <w:highlight w:val="none"/>
                      <w:lang w:val="en-US" w:eastAsia="zh-CN"/>
                    </w:rPr>
                    <w:t>TSP</w:t>
                  </w:r>
                  <w:r>
                    <w:rPr>
                      <w:rFonts w:hint="default" w:ascii="Times New Roman" w:hAnsi="Times New Roman" w:eastAsia="宋体" w:cs="Times New Roman"/>
                      <w:b w:val="0"/>
                      <w:bCs/>
                      <w:color w:val="auto"/>
                      <w:spacing w:val="0"/>
                      <w:w w:val="100"/>
                      <w:position w:val="0"/>
                      <w:sz w:val="21"/>
                      <w:szCs w:val="21"/>
                      <w:highlight w:val="none"/>
                      <w:lang w:val="en-US" w:eastAsia="zh-CN"/>
                    </w:rPr>
                    <w:t>浓度(mg/m</w:t>
                  </w:r>
                  <w:r>
                    <w:rPr>
                      <w:rFonts w:hint="default" w:ascii="Times New Roman" w:hAnsi="Times New Roman" w:eastAsia="宋体" w:cs="Times New Roman"/>
                      <w:b w:val="0"/>
                      <w:bCs/>
                      <w:color w:val="auto"/>
                      <w:spacing w:val="0"/>
                      <w:w w:val="100"/>
                      <w:position w:val="0"/>
                      <w:sz w:val="21"/>
                      <w:szCs w:val="21"/>
                      <w:highlight w:val="none"/>
                      <w:vertAlign w:val="superscript"/>
                      <w:lang w:val="en-US" w:eastAsia="zh-CN"/>
                    </w:rPr>
                    <w:t>3</w:t>
                  </w:r>
                  <w:r>
                    <w:rPr>
                      <w:rFonts w:hint="default" w:ascii="Times New Roman" w:hAnsi="Times New Roman" w:eastAsia="宋体" w:cs="Times New Roman"/>
                      <w:b w:val="0"/>
                      <w:bCs/>
                      <w:color w:val="auto"/>
                      <w:spacing w:val="0"/>
                      <w:w w:val="100"/>
                      <w:position w:val="0"/>
                      <w:sz w:val="21"/>
                      <w:szCs w:val="21"/>
                      <w:highlight w:val="none"/>
                      <w:lang w:val="en-US" w:eastAsia="zh-CN"/>
                    </w:rPr>
                    <w:t>)</w:t>
                  </w:r>
                </w:p>
              </w:tc>
              <w:tc>
                <w:tcPr>
                  <w:tcW w:w="1219" w:type="pct"/>
                  <w:tcBorders>
                    <w:tl2br w:val="nil"/>
                    <w:tr2bl w:val="nil"/>
                  </w:tcBorders>
                  <w:noWrap w:val="0"/>
                  <w:vAlign w:val="center"/>
                </w:tcPr>
                <w:p w14:paraId="7E558249">
                  <w:pPr>
                    <w:pStyle w:val="67"/>
                    <w:shd w:val="clear" w:color="auto" w:fill="auto"/>
                    <w:spacing w:before="6"/>
                    <w:jc w:val="center"/>
                    <w:rPr>
                      <w:rFonts w:hint="eastAsia"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NO</w:t>
                  </w:r>
                  <w:r>
                    <w:rPr>
                      <w:rFonts w:hint="default" w:ascii="Times New Roman" w:hAnsi="Times New Roman" w:eastAsia="宋体" w:cs="Times New Roman"/>
                      <w:b w:val="0"/>
                      <w:bCs/>
                      <w:color w:val="auto"/>
                      <w:spacing w:val="0"/>
                      <w:w w:val="100"/>
                      <w:position w:val="0"/>
                      <w:sz w:val="21"/>
                      <w:szCs w:val="21"/>
                      <w:highlight w:val="none"/>
                      <w:vertAlign w:val="subscript"/>
                      <w:lang w:val="en-US" w:eastAsia="zh-CN"/>
                    </w:rPr>
                    <w:t>X</w:t>
                  </w:r>
                  <w:r>
                    <w:rPr>
                      <w:rFonts w:hint="default" w:ascii="Times New Roman" w:hAnsi="Times New Roman" w:eastAsia="宋体" w:cs="Times New Roman"/>
                      <w:b w:val="0"/>
                      <w:bCs/>
                      <w:color w:val="auto"/>
                      <w:spacing w:val="0"/>
                      <w:w w:val="100"/>
                      <w:position w:val="0"/>
                      <w:sz w:val="21"/>
                      <w:szCs w:val="21"/>
                      <w:highlight w:val="none"/>
                      <w:lang w:val="en-US" w:eastAsia="zh-CN"/>
                    </w:rPr>
                    <w:t>浓度(mg/m</w:t>
                  </w:r>
                  <w:r>
                    <w:rPr>
                      <w:rFonts w:hint="default" w:ascii="Times New Roman" w:hAnsi="Times New Roman" w:eastAsia="宋体" w:cs="Times New Roman"/>
                      <w:b w:val="0"/>
                      <w:bCs/>
                      <w:color w:val="auto"/>
                      <w:spacing w:val="0"/>
                      <w:w w:val="100"/>
                      <w:position w:val="0"/>
                      <w:sz w:val="21"/>
                      <w:szCs w:val="21"/>
                      <w:highlight w:val="none"/>
                      <w:vertAlign w:val="superscript"/>
                      <w:lang w:val="en-US" w:eastAsia="zh-CN"/>
                    </w:rPr>
                    <w:t>3</w:t>
                  </w:r>
                  <w:r>
                    <w:rPr>
                      <w:rFonts w:hint="default" w:ascii="Times New Roman" w:hAnsi="Times New Roman" w:eastAsia="宋体" w:cs="Times New Roman"/>
                      <w:b w:val="0"/>
                      <w:bCs/>
                      <w:color w:val="auto"/>
                      <w:spacing w:val="0"/>
                      <w:w w:val="100"/>
                      <w:position w:val="0"/>
                      <w:sz w:val="21"/>
                      <w:szCs w:val="21"/>
                      <w:highlight w:val="none"/>
                      <w:lang w:val="en-US" w:eastAsia="zh-CN"/>
                    </w:rPr>
                    <w:t>)</w:t>
                  </w:r>
                </w:p>
              </w:tc>
            </w:tr>
            <w:tr w14:paraId="784402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19" w:type="pct"/>
                  <w:vMerge w:val="restart"/>
                  <w:tcBorders>
                    <w:tl2br w:val="nil"/>
                    <w:tr2bl w:val="nil"/>
                  </w:tcBorders>
                  <w:noWrap w:val="0"/>
                  <w:vAlign w:val="center"/>
                </w:tcPr>
                <w:p w14:paraId="62E8132F">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项目区</w:t>
                  </w:r>
                  <w:r>
                    <w:rPr>
                      <w:rFonts w:hint="eastAsia" w:ascii="Times New Roman" w:hAnsi="Times New Roman" w:cs="Times New Roman"/>
                      <w:b w:val="0"/>
                      <w:bCs/>
                      <w:color w:val="auto"/>
                      <w:spacing w:val="0"/>
                      <w:w w:val="100"/>
                      <w:position w:val="0"/>
                      <w:sz w:val="21"/>
                      <w:szCs w:val="21"/>
                      <w:highlight w:val="none"/>
                      <w:lang w:val="en-US" w:eastAsia="zh-CN"/>
                    </w:rPr>
                    <w:t>东</w:t>
                  </w:r>
                  <w:r>
                    <w:rPr>
                      <w:rFonts w:hint="default" w:ascii="Times New Roman" w:hAnsi="Times New Roman" w:eastAsia="宋体" w:cs="Times New Roman"/>
                      <w:b w:val="0"/>
                      <w:bCs/>
                      <w:color w:val="auto"/>
                      <w:spacing w:val="0"/>
                      <w:w w:val="100"/>
                      <w:position w:val="0"/>
                      <w:sz w:val="21"/>
                      <w:szCs w:val="21"/>
                      <w:highlight w:val="none"/>
                      <w:lang w:val="en-US" w:eastAsia="zh-CN"/>
                    </w:rPr>
                    <w:t>侧</w:t>
                  </w:r>
                  <w:r>
                    <w:rPr>
                      <w:rFonts w:hint="eastAsia" w:ascii="Times New Roman" w:hAnsi="Times New Roman" w:cs="Times New Roman"/>
                      <w:b w:val="0"/>
                      <w:bCs/>
                      <w:color w:val="auto"/>
                      <w:spacing w:val="0"/>
                      <w:w w:val="100"/>
                      <w:position w:val="0"/>
                      <w:sz w:val="21"/>
                      <w:szCs w:val="21"/>
                      <w:highlight w:val="none"/>
                      <w:lang w:val="en-US" w:eastAsia="zh-CN"/>
                    </w:rPr>
                    <w:t>5</w:t>
                  </w:r>
                  <w:r>
                    <w:rPr>
                      <w:rFonts w:hint="default" w:ascii="Times New Roman" w:hAnsi="Times New Roman" w:eastAsia="宋体" w:cs="Times New Roman"/>
                      <w:b w:val="0"/>
                      <w:bCs/>
                      <w:color w:val="auto"/>
                      <w:spacing w:val="0"/>
                      <w:w w:val="100"/>
                      <w:position w:val="0"/>
                      <w:sz w:val="21"/>
                      <w:szCs w:val="21"/>
                      <w:highlight w:val="none"/>
                      <w:lang w:val="en-US" w:eastAsia="zh-CN"/>
                    </w:rPr>
                    <w:t>m处</w:t>
                  </w:r>
                </w:p>
              </w:tc>
              <w:tc>
                <w:tcPr>
                  <w:tcW w:w="1006" w:type="pct"/>
                  <w:tcBorders>
                    <w:tl2br w:val="nil"/>
                    <w:tr2bl w:val="nil"/>
                  </w:tcBorders>
                  <w:noWrap w:val="0"/>
                  <w:vAlign w:val="center"/>
                </w:tcPr>
                <w:p w14:paraId="5BAF952D">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202</w:t>
                  </w:r>
                  <w:r>
                    <w:rPr>
                      <w:rFonts w:hint="eastAsia" w:ascii="Times New Roman" w:hAnsi="Times New Roman" w:cs="Times New Roman"/>
                      <w:b w:val="0"/>
                      <w:bCs/>
                      <w:color w:val="auto"/>
                      <w:spacing w:val="0"/>
                      <w:w w:val="100"/>
                      <w:position w:val="0"/>
                      <w:sz w:val="21"/>
                      <w:szCs w:val="21"/>
                      <w:highlight w:val="none"/>
                      <w:lang w:val="en-US" w:eastAsia="zh-CN"/>
                    </w:rPr>
                    <w:t>5</w:t>
                  </w:r>
                  <w:r>
                    <w:rPr>
                      <w:rFonts w:hint="default" w:ascii="Times New Roman" w:hAnsi="Times New Roman" w:eastAsia="宋体" w:cs="Times New Roman"/>
                      <w:b w:val="0"/>
                      <w:bCs/>
                      <w:color w:val="auto"/>
                      <w:spacing w:val="0"/>
                      <w:w w:val="100"/>
                      <w:position w:val="0"/>
                      <w:sz w:val="21"/>
                      <w:szCs w:val="21"/>
                      <w:highlight w:val="none"/>
                      <w:lang w:val="en-US" w:eastAsia="zh-CN"/>
                    </w:rPr>
                    <w:t>年</w:t>
                  </w:r>
                  <w:r>
                    <w:rPr>
                      <w:rFonts w:hint="eastAsia" w:ascii="Times New Roman" w:hAnsi="Times New Roman" w:cs="Times New Roman"/>
                      <w:b w:val="0"/>
                      <w:bCs/>
                      <w:color w:val="auto"/>
                      <w:spacing w:val="0"/>
                      <w:w w:val="100"/>
                      <w:position w:val="0"/>
                      <w:sz w:val="21"/>
                      <w:szCs w:val="21"/>
                      <w:highlight w:val="none"/>
                      <w:lang w:val="en-US" w:eastAsia="zh-CN"/>
                    </w:rPr>
                    <w:t>4</w:t>
                  </w:r>
                  <w:r>
                    <w:rPr>
                      <w:rFonts w:hint="default" w:ascii="Times New Roman" w:hAnsi="Times New Roman" w:eastAsia="宋体" w:cs="Times New Roman"/>
                      <w:b w:val="0"/>
                      <w:bCs/>
                      <w:color w:val="auto"/>
                      <w:spacing w:val="0"/>
                      <w:w w:val="100"/>
                      <w:position w:val="0"/>
                      <w:sz w:val="21"/>
                      <w:szCs w:val="21"/>
                      <w:highlight w:val="none"/>
                      <w:lang w:val="en-US" w:eastAsia="zh-CN"/>
                    </w:rPr>
                    <w:t>月</w:t>
                  </w:r>
                  <w:r>
                    <w:rPr>
                      <w:rFonts w:hint="eastAsia" w:ascii="Times New Roman" w:hAnsi="Times New Roman" w:cs="Times New Roman"/>
                      <w:b w:val="0"/>
                      <w:bCs/>
                      <w:color w:val="auto"/>
                      <w:spacing w:val="0"/>
                      <w:w w:val="100"/>
                      <w:position w:val="0"/>
                      <w:sz w:val="21"/>
                      <w:szCs w:val="21"/>
                      <w:highlight w:val="none"/>
                      <w:lang w:val="en-US" w:eastAsia="zh-CN"/>
                    </w:rPr>
                    <w:t>10</w:t>
                  </w:r>
                  <w:r>
                    <w:rPr>
                      <w:rFonts w:hint="default" w:ascii="Times New Roman" w:hAnsi="Times New Roman" w:eastAsia="宋体" w:cs="Times New Roman"/>
                      <w:b w:val="0"/>
                      <w:bCs/>
                      <w:color w:val="auto"/>
                      <w:spacing w:val="0"/>
                      <w:w w:val="100"/>
                      <w:position w:val="0"/>
                      <w:sz w:val="21"/>
                      <w:szCs w:val="21"/>
                      <w:highlight w:val="none"/>
                      <w:lang w:val="en-US" w:eastAsia="zh-CN"/>
                    </w:rPr>
                    <w:t>日</w:t>
                  </w:r>
                </w:p>
              </w:tc>
              <w:tc>
                <w:tcPr>
                  <w:tcW w:w="833" w:type="pct"/>
                  <w:tcBorders>
                    <w:tl2br w:val="nil"/>
                    <w:tr2bl w:val="nil"/>
                  </w:tcBorders>
                  <w:noWrap w:val="0"/>
                  <w:vAlign w:val="center"/>
                </w:tcPr>
                <w:p w14:paraId="62F4FCDD">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b w:val="0"/>
                      <w:bCs/>
                      <w:color w:val="auto"/>
                      <w:spacing w:val="0"/>
                      <w:w w:val="100"/>
                      <w:position w:val="0"/>
                      <w:sz w:val="21"/>
                      <w:szCs w:val="21"/>
                      <w:highlight w:val="none"/>
                      <w:lang w:val="en-US" w:eastAsia="zh-CN"/>
                    </w:rPr>
                    <w:t>1#-1-1</w:t>
                  </w:r>
                </w:p>
              </w:tc>
              <w:tc>
                <w:tcPr>
                  <w:tcW w:w="1219" w:type="pct"/>
                  <w:tcBorders>
                    <w:tl2br w:val="nil"/>
                    <w:tr2bl w:val="nil"/>
                  </w:tcBorders>
                  <w:noWrap w:val="0"/>
                  <w:vAlign w:val="center"/>
                </w:tcPr>
                <w:p w14:paraId="078C67DC">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0.084</w:t>
                  </w:r>
                </w:p>
              </w:tc>
              <w:tc>
                <w:tcPr>
                  <w:tcW w:w="1219" w:type="pct"/>
                  <w:tcBorders>
                    <w:tl2br w:val="nil"/>
                    <w:tr2bl w:val="nil"/>
                  </w:tcBorders>
                  <w:noWrap w:val="0"/>
                  <w:vAlign w:val="center"/>
                </w:tcPr>
                <w:p w14:paraId="424B7897">
                  <w:pPr>
                    <w:pStyle w:val="67"/>
                    <w:shd w:val="clear" w:color="auto" w:fill="auto"/>
                    <w:spacing w:before="6"/>
                    <w:jc w:val="center"/>
                    <w:rPr>
                      <w:rFonts w:hint="default" w:ascii="Times New Roman" w:hAnsi="Times New Roman"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0.070</w:t>
                  </w:r>
                </w:p>
              </w:tc>
            </w:tr>
            <w:tr w14:paraId="79C2EE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19" w:type="pct"/>
                  <w:vMerge w:val="continue"/>
                  <w:tcBorders>
                    <w:tl2br w:val="nil"/>
                    <w:tr2bl w:val="nil"/>
                  </w:tcBorders>
                  <w:noWrap w:val="0"/>
                  <w:vAlign w:val="center"/>
                </w:tcPr>
                <w:p w14:paraId="54908F89">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p>
              </w:tc>
              <w:tc>
                <w:tcPr>
                  <w:tcW w:w="1006" w:type="pct"/>
                  <w:tcBorders>
                    <w:tl2br w:val="nil"/>
                    <w:tr2bl w:val="nil"/>
                  </w:tcBorders>
                  <w:noWrap w:val="0"/>
                  <w:vAlign w:val="center"/>
                </w:tcPr>
                <w:p w14:paraId="7247C8AC">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202</w:t>
                  </w:r>
                  <w:r>
                    <w:rPr>
                      <w:rFonts w:hint="eastAsia" w:ascii="Times New Roman" w:hAnsi="Times New Roman" w:cs="Times New Roman"/>
                      <w:b w:val="0"/>
                      <w:bCs/>
                      <w:color w:val="auto"/>
                      <w:spacing w:val="0"/>
                      <w:w w:val="100"/>
                      <w:position w:val="0"/>
                      <w:sz w:val="21"/>
                      <w:szCs w:val="21"/>
                      <w:highlight w:val="none"/>
                      <w:lang w:val="en-US" w:eastAsia="zh-CN"/>
                    </w:rPr>
                    <w:t>5</w:t>
                  </w:r>
                  <w:r>
                    <w:rPr>
                      <w:rFonts w:hint="default" w:ascii="Times New Roman" w:hAnsi="Times New Roman" w:eastAsia="宋体" w:cs="Times New Roman"/>
                      <w:b w:val="0"/>
                      <w:bCs/>
                      <w:color w:val="auto"/>
                      <w:spacing w:val="0"/>
                      <w:w w:val="100"/>
                      <w:position w:val="0"/>
                      <w:sz w:val="21"/>
                      <w:szCs w:val="21"/>
                      <w:highlight w:val="none"/>
                      <w:lang w:val="en-US" w:eastAsia="zh-CN"/>
                    </w:rPr>
                    <w:t>年</w:t>
                  </w:r>
                  <w:r>
                    <w:rPr>
                      <w:rFonts w:hint="eastAsia" w:ascii="Times New Roman" w:hAnsi="Times New Roman" w:cs="Times New Roman"/>
                      <w:b w:val="0"/>
                      <w:bCs/>
                      <w:color w:val="auto"/>
                      <w:spacing w:val="0"/>
                      <w:w w:val="100"/>
                      <w:position w:val="0"/>
                      <w:sz w:val="21"/>
                      <w:szCs w:val="21"/>
                      <w:highlight w:val="none"/>
                      <w:lang w:val="en-US" w:eastAsia="zh-CN"/>
                    </w:rPr>
                    <w:t>4</w:t>
                  </w:r>
                  <w:r>
                    <w:rPr>
                      <w:rFonts w:hint="default" w:ascii="Times New Roman" w:hAnsi="Times New Roman" w:eastAsia="宋体" w:cs="Times New Roman"/>
                      <w:b w:val="0"/>
                      <w:bCs/>
                      <w:color w:val="auto"/>
                      <w:spacing w:val="0"/>
                      <w:w w:val="100"/>
                      <w:position w:val="0"/>
                      <w:sz w:val="21"/>
                      <w:szCs w:val="21"/>
                      <w:highlight w:val="none"/>
                      <w:lang w:val="en-US" w:eastAsia="zh-CN"/>
                    </w:rPr>
                    <w:t>月</w:t>
                  </w:r>
                  <w:r>
                    <w:rPr>
                      <w:rFonts w:hint="eastAsia" w:ascii="Times New Roman" w:hAnsi="Times New Roman" w:cs="Times New Roman"/>
                      <w:b w:val="0"/>
                      <w:bCs/>
                      <w:color w:val="auto"/>
                      <w:spacing w:val="0"/>
                      <w:w w:val="100"/>
                      <w:position w:val="0"/>
                      <w:sz w:val="21"/>
                      <w:szCs w:val="21"/>
                      <w:highlight w:val="none"/>
                      <w:lang w:val="en-US" w:eastAsia="zh-CN"/>
                    </w:rPr>
                    <w:t>11</w:t>
                  </w:r>
                  <w:r>
                    <w:rPr>
                      <w:rFonts w:hint="default" w:ascii="Times New Roman" w:hAnsi="Times New Roman" w:eastAsia="宋体" w:cs="Times New Roman"/>
                      <w:b w:val="0"/>
                      <w:bCs/>
                      <w:color w:val="auto"/>
                      <w:spacing w:val="0"/>
                      <w:w w:val="100"/>
                      <w:position w:val="0"/>
                      <w:sz w:val="21"/>
                      <w:szCs w:val="21"/>
                      <w:highlight w:val="none"/>
                      <w:lang w:val="en-US" w:eastAsia="zh-CN"/>
                    </w:rPr>
                    <w:t>日</w:t>
                  </w:r>
                </w:p>
              </w:tc>
              <w:tc>
                <w:tcPr>
                  <w:tcW w:w="833" w:type="pct"/>
                  <w:tcBorders>
                    <w:tl2br w:val="nil"/>
                    <w:tr2bl w:val="nil"/>
                  </w:tcBorders>
                  <w:noWrap w:val="0"/>
                  <w:vAlign w:val="center"/>
                </w:tcPr>
                <w:p w14:paraId="7A9BE207">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b w:val="0"/>
                      <w:bCs/>
                      <w:color w:val="auto"/>
                      <w:spacing w:val="0"/>
                      <w:w w:val="100"/>
                      <w:position w:val="0"/>
                      <w:sz w:val="21"/>
                      <w:szCs w:val="21"/>
                      <w:highlight w:val="none"/>
                      <w:lang w:val="en-US" w:eastAsia="zh-CN"/>
                    </w:rPr>
                    <w:t>1#-</w:t>
                  </w:r>
                  <w:r>
                    <w:rPr>
                      <w:rFonts w:hint="eastAsia" w:ascii="Times New Roman" w:hAnsi="Times New Roman" w:cs="Times New Roman"/>
                      <w:b w:val="0"/>
                      <w:bCs/>
                      <w:color w:val="auto"/>
                      <w:spacing w:val="0"/>
                      <w:w w:val="100"/>
                      <w:position w:val="0"/>
                      <w:sz w:val="21"/>
                      <w:szCs w:val="21"/>
                      <w:highlight w:val="none"/>
                      <w:lang w:val="en-US" w:eastAsia="zh-CN"/>
                    </w:rPr>
                    <w:t>2</w:t>
                  </w:r>
                  <w:r>
                    <w:rPr>
                      <w:rFonts w:hint="eastAsia" w:ascii="Times New Roman" w:hAnsi="Times New Roman" w:eastAsia="宋体" w:cs="Times New Roman"/>
                      <w:b w:val="0"/>
                      <w:bCs/>
                      <w:color w:val="auto"/>
                      <w:spacing w:val="0"/>
                      <w:w w:val="100"/>
                      <w:position w:val="0"/>
                      <w:sz w:val="21"/>
                      <w:szCs w:val="21"/>
                      <w:highlight w:val="none"/>
                      <w:lang w:val="en-US" w:eastAsia="zh-CN"/>
                    </w:rPr>
                    <w:t>-1</w:t>
                  </w:r>
                </w:p>
              </w:tc>
              <w:tc>
                <w:tcPr>
                  <w:tcW w:w="1219" w:type="pct"/>
                  <w:tcBorders>
                    <w:tl2br w:val="nil"/>
                    <w:tr2bl w:val="nil"/>
                  </w:tcBorders>
                  <w:noWrap w:val="0"/>
                  <w:vAlign w:val="center"/>
                </w:tcPr>
                <w:p w14:paraId="11A2E485">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0.080</w:t>
                  </w:r>
                </w:p>
              </w:tc>
              <w:tc>
                <w:tcPr>
                  <w:tcW w:w="1219" w:type="pct"/>
                  <w:tcBorders>
                    <w:tl2br w:val="nil"/>
                    <w:tr2bl w:val="nil"/>
                  </w:tcBorders>
                  <w:noWrap w:val="0"/>
                  <w:vAlign w:val="center"/>
                </w:tcPr>
                <w:p w14:paraId="2CE81AEE">
                  <w:pPr>
                    <w:pStyle w:val="67"/>
                    <w:shd w:val="clear" w:color="auto" w:fill="auto"/>
                    <w:spacing w:before="6"/>
                    <w:jc w:val="center"/>
                    <w:rPr>
                      <w:rFonts w:hint="default" w:ascii="Times New Roman" w:hAnsi="Times New Roman"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0.074</w:t>
                  </w:r>
                </w:p>
              </w:tc>
            </w:tr>
            <w:tr w14:paraId="3B965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19" w:type="pct"/>
                  <w:vMerge w:val="continue"/>
                  <w:tcBorders>
                    <w:tl2br w:val="nil"/>
                    <w:tr2bl w:val="nil"/>
                  </w:tcBorders>
                  <w:noWrap w:val="0"/>
                  <w:vAlign w:val="center"/>
                </w:tcPr>
                <w:p w14:paraId="5BBAE052">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p>
              </w:tc>
              <w:tc>
                <w:tcPr>
                  <w:tcW w:w="1006" w:type="pct"/>
                  <w:tcBorders>
                    <w:tl2br w:val="nil"/>
                    <w:tr2bl w:val="nil"/>
                  </w:tcBorders>
                  <w:noWrap w:val="0"/>
                  <w:vAlign w:val="center"/>
                </w:tcPr>
                <w:p w14:paraId="016351A2">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202</w:t>
                  </w:r>
                  <w:r>
                    <w:rPr>
                      <w:rFonts w:hint="eastAsia" w:ascii="Times New Roman" w:hAnsi="Times New Roman" w:cs="Times New Roman"/>
                      <w:b w:val="0"/>
                      <w:bCs/>
                      <w:color w:val="auto"/>
                      <w:spacing w:val="0"/>
                      <w:w w:val="100"/>
                      <w:position w:val="0"/>
                      <w:sz w:val="21"/>
                      <w:szCs w:val="21"/>
                      <w:highlight w:val="none"/>
                      <w:lang w:val="en-US" w:eastAsia="zh-CN"/>
                    </w:rPr>
                    <w:t>5</w:t>
                  </w:r>
                  <w:r>
                    <w:rPr>
                      <w:rFonts w:hint="default" w:ascii="Times New Roman" w:hAnsi="Times New Roman" w:eastAsia="宋体" w:cs="Times New Roman"/>
                      <w:b w:val="0"/>
                      <w:bCs/>
                      <w:color w:val="auto"/>
                      <w:spacing w:val="0"/>
                      <w:w w:val="100"/>
                      <w:position w:val="0"/>
                      <w:sz w:val="21"/>
                      <w:szCs w:val="21"/>
                      <w:highlight w:val="none"/>
                      <w:lang w:val="en-US" w:eastAsia="zh-CN"/>
                    </w:rPr>
                    <w:t>年</w:t>
                  </w:r>
                  <w:r>
                    <w:rPr>
                      <w:rFonts w:hint="eastAsia" w:ascii="Times New Roman" w:hAnsi="Times New Roman" w:cs="Times New Roman"/>
                      <w:b w:val="0"/>
                      <w:bCs/>
                      <w:color w:val="auto"/>
                      <w:spacing w:val="0"/>
                      <w:w w:val="100"/>
                      <w:position w:val="0"/>
                      <w:sz w:val="21"/>
                      <w:szCs w:val="21"/>
                      <w:highlight w:val="none"/>
                      <w:lang w:val="en-US" w:eastAsia="zh-CN"/>
                    </w:rPr>
                    <w:t>4</w:t>
                  </w:r>
                  <w:r>
                    <w:rPr>
                      <w:rFonts w:hint="default" w:ascii="Times New Roman" w:hAnsi="Times New Roman" w:eastAsia="宋体" w:cs="Times New Roman"/>
                      <w:b w:val="0"/>
                      <w:bCs/>
                      <w:color w:val="auto"/>
                      <w:spacing w:val="0"/>
                      <w:w w:val="100"/>
                      <w:position w:val="0"/>
                      <w:sz w:val="21"/>
                      <w:szCs w:val="21"/>
                      <w:highlight w:val="none"/>
                      <w:lang w:val="en-US" w:eastAsia="zh-CN"/>
                    </w:rPr>
                    <w:t>月</w:t>
                  </w:r>
                  <w:r>
                    <w:rPr>
                      <w:rFonts w:hint="eastAsia" w:ascii="Times New Roman" w:hAnsi="Times New Roman" w:cs="Times New Roman"/>
                      <w:b w:val="0"/>
                      <w:bCs/>
                      <w:color w:val="auto"/>
                      <w:spacing w:val="0"/>
                      <w:w w:val="100"/>
                      <w:position w:val="0"/>
                      <w:sz w:val="21"/>
                      <w:szCs w:val="21"/>
                      <w:highlight w:val="none"/>
                      <w:lang w:val="en-US" w:eastAsia="zh-CN"/>
                    </w:rPr>
                    <w:t>12</w:t>
                  </w:r>
                  <w:r>
                    <w:rPr>
                      <w:rFonts w:hint="default" w:ascii="Times New Roman" w:hAnsi="Times New Roman" w:eastAsia="宋体" w:cs="Times New Roman"/>
                      <w:b w:val="0"/>
                      <w:bCs/>
                      <w:color w:val="auto"/>
                      <w:spacing w:val="0"/>
                      <w:w w:val="100"/>
                      <w:position w:val="0"/>
                      <w:sz w:val="21"/>
                      <w:szCs w:val="21"/>
                      <w:highlight w:val="none"/>
                      <w:lang w:val="en-US" w:eastAsia="zh-CN"/>
                    </w:rPr>
                    <w:t>日</w:t>
                  </w:r>
                </w:p>
              </w:tc>
              <w:tc>
                <w:tcPr>
                  <w:tcW w:w="833" w:type="pct"/>
                  <w:tcBorders>
                    <w:tl2br w:val="nil"/>
                    <w:tr2bl w:val="nil"/>
                  </w:tcBorders>
                  <w:noWrap w:val="0"/>
                  <w:vAlign w:val="center"/>
                </w:tcPr>
                <w:p w14:paraId="26EDB48F">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b w:val="0"/>
                      <w:bCs/>
                      <w:color w:val="auto"/>
                      <w:spacing w:val="0"/>
                      <w:w w:val="100"/>
                      <w:position w:val="0"/>
                      <w:sz w:val="21"/>
                      <w:szCs w:val="21"/>
                      <w:highlight w:val="none"/>
                      <w:lang w:val="en-US" w:eastAsia="zh-CN"/>
                    </w:rPr>
                    <w:t>1#-</w:t>
                  </w:r>
                  <w:r>
                    <w:rPr>
                      <w:rFonts w:hint="eastAsia" w:ascii="Times New Roman" w:hAnsi="Times New Roman" w:cs="Times New Roman"/>
                      <w:b w:val="0"/>
                      <w:bCs/>
                      <w:color w:val="auto"/>
                      <w:spacing w:val="0"/>
                      <w:w w:val="100"/>
                      <w:position w:val="0"/>
                      <w:sz w:val="21"/>
                      <w:szCs w:val="21"/>
                      <w:highlight w:val="none"/>
                      <w:lang w:val="en-US" w:eastAsia="zh-CN"/>
                    </w:rPr>
                    <w:t>3</w:t>
                  </w:r>
                  <w:r>
                    <w:rPr>
                      <w:rFonts w:hint="eastAsia" w:ascii="Times New Roman" w:hAnsi="Times New Roman" w:eastAsia="宋体" w:cs="Times New Roman"/>
                      <w:b w:val="0"/>
                      <w:bCs/>
                      <w:color w:val="auto"/>
                      <w:spacing w:val="0"/>
                      <w:w w:val="100"/>
                      <w:position w:val="0"/>
                      <w:sz w:val="21"/>
                      <w:szCs w:val="21"/>
                      <w:highlight w:val="none"/>
                      <w:lang w:val="en-US" w:eastAsia="zh-CN"/>
                    </w:rPr>
                    <w:t>-1</w:t>
                  </w:r>
                </w:p>
              </w:tc>
              <w:tc>
                <w:tcPr>
                  <w:tcW w:w="1219" w:type="pct"/>
                  <w:tcBorders>
                    <w:tl2br w:val="nil"/>
                    <w:tr2bl w:val="nil"/>
                  </w:tcBorders>
                  <w:noWrap w:val="0"/>
                  <w:vAlign w:val="center"/>
                </w:tcPr>
                <w:p w14:paraId="4AAAE300">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0.076</w:t>
                  </w:r>
                </w:p>
              </w:tc>
              <w:tc>
                <w:tcPr>
                  <w:tcW w:w="1219" w:type="pct"/>
                  <w:tcBorders>
                    <w:tl2br w:val="nil"/>
                    <w:tr2bl w:val="nil"/>
                  </w:tcBorders>
                  <w:noWrap w:val="0"/>
                  <w:vAlign w:val="center"/>
                </w:tcPr>
                <w:p w14:paraId="293E4D4F">
                  <w:pPr>
                    <w:pStyle w:val="67"/>
                    <w:shd w:val="clear" w:color="auto" w:fill="auto"/>
                    <w:spacing w:before="6"/>
                    <w:jc w:val="center"/>
                    <w:rPr>
                      <w:rFonts w:hint="default" w:ascii="Times New Roman" w:hAnsi="Times New Roman" w:cs="Times New Roman"/>
                      <w:b w:val="0"/>
                      <w:bCs/>
                      <w:color w:val="auto"/>
                      <w:spacing w:val="0"/>
                      <w:w w:val="100"/>
                      <w:position w:val="0"/>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0.091</w:t>
                  </w:r>
                </w:p>
              </w:tc>
            </w:tr>
          </w:tbl>
          <w:p w14:paraId="2B6C136B">
            <w:pPr>
              <w:keepNext w:val="0"/>
              <w:keepLines w:val="0"/>
              <w:pageBreakBefore w:val="0"/>
              <w:widowControl w:val="0"/>
              <w:kinsoku/>
              <w:wordWrap/>
              <w:overflowPunct/>
              <w:topLinePunct w:val="0"/>
              <w:autoSpaceDE w:val="0"/>
              <w:autoSpaceDN w:val="0"/>
              <w:bidi w:val="0"/>
              <w:adjustRightInd/>
              <w:snapToGrid/>
              <w:spacing w:before="0" w:after="0" w:line="520" w:lineRule="exact"/>
              <w:ind w:right="0" w:rightChars="0"/>
              <w:jc w:val="both"/>
              <w:textAlignment w:val="auto"/>
              <w:rPr>
                <w:rFonts w:hint="default" w:ascii="Times New Roman" w:hAnsi="Times New Roman" w:eastAsia="宋体" w:cs="Times New Roman"/>
                <w:b/>
                <w:bCs/>
                <w:color w:val="auto"/>
                <w:spacing w:val="0"/>
                <w:w w:val="100"/>
                <w:kern w:val="2"/>
                <w:position w:val="0"/>
                <w:sz w:val="24"/>
                <w:szCs w:val="22"/>
                <w:highlight w:val="none"/>
                <w:lang w:val="en-US" w:eastAsia="zh-CN" w:bidi="ar-SA"/>
              </w:rPr>
            </w:pPr>
            <w:r>
              <w:rPr>
                <w:rFonts w:hint="default" w:ascii="Times New Roman" w:hAnsi="Times New Roman" w:eastAsia="宋体" w:cs="Times New Roman"/>
                <w:b/>
                <w:bCs/>
                <w:color w:val="auto"/>
                <w:spacing w:val="0"/>
                <w:w w:val="100"/>
                <w:kern w:val="2"/>
                <w:position w:val="0"/>
                <w:sz w:val="24"/>
                <w:szCs w:val="22"/>
                <w:highlight w:val="none"/>
                <w:lang w:val="en-US" w:eastAsia="zh-CN" w:bidi="ar-SA"/>
              </w:rPr>
              <w:t>表</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3-5</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cs="Times New Roman"/>
                <w:b/>
                <w:bCs/>
                <w:color w:val="auto"/>
                <w:spacing w:val="0"/>
                <w:w w:val="100"/>
                <w:kern w:val="2"/>
                <w:position w:val="0"/>
                <w:sz w:val="24"/>
                <w:szCs w:val="22"/>
                <w:highlight w:val="none"/>
                <w:lang w:val="en-US" w:eastAsia="zh-CN" w:bidi="ar-SA"/>
              </w:rPr>
              <w:t xml:space="preserve"> </w:t>
            </w:r>
            <w:r>
              <w:rPr>
                <w:rFonts w:hint="eastAsia" w:ascii="Times New Roman" w:hAnsi="Times New Roman" w:eastAsia="宋体" w:cs="Times New Roman"/>
                <w:b/>
                <w:bCs/>
                <w:color w:val="auto"/>
                <w:spacing w:val="0"/>
                <w:w w:val="100"/>
                <w:kern w:val="2"/>
                <w:position w:val="0"/>
                <w:sz w:val="24"/>
                <w:szCs w:val="22"/>
                <w:highlight w:val="none"/>
                <w:lang w:val="en-US" w:eastAsia="zh-CN" w:bidi="ar-SA"/>
              </w:rPr>
              <w:t xml:space="preserve"> </w:t>
            </w:r>
            <w:r>
              <w:rPr>
                <w:rFonts w:hint="eastAsia" w:cs="Times New Roman"/>
                <w:b/>
                <w:bCs/>
                <w:color w:val="auto"/>
                <w:spacing w:val="0"/>
                <w:w w:val="100"/>
                <w:kern w:val="2"/>
                <w:position w:val="0"/>
                <w:sz w:val="24"/>
                <w:szCs w:val="22"/>
                <w:highlight w:val="none"/>
                <w:lang w:val="en-US" w:eastAsia="zh-CN" w:bidi="ar-SA"/>
              </w:rPr>
              <w:t xml:space="preserve">    </w:t>
            </w:r>
            <w:r>
              <w:rPr>
                <w:rFonts w:hint="default" w:ascii="Times New Roman" w:hAnsi="Times New Roman" w:eastAsia="宋体" w:cs="Times New Roman"/>
                <w:b/>
                <w:bCs/>
                <w:color w:val="auto"/>
                <w:spacing w:val="0"/>
                <w:w w:val="100"/>
                <w:kern w:val="2"/>
                <w:position w:val="0"/>
                <w:sz w:val="24"/>
                <w:szCs w:val="22"/>
                <w:highlight w:val="none"/>
                <w:lang w:val="en-US" w:eastAsia="zh-CN" w:bidi="ar-SA"/>
              </w:rPr>
              <w:t>空气质量</w:t>
            </w:r>
            <w:r>
              <w:rPr>
                <w:rFonts w:hint="default" w:ascii="Times New Roman" w:hAnsi="Times New Roman" w:eastAsia="宋体" w:cs="Times New Roman"/>
                <w:b/>
                <w:bCs/>
                <w:color w:val="auto"/>
                <w:spacing w:val="0"/>
                <w:w w:val="100"/>
                <w:position w:val="0"/>
                <w:sz w:val="24"/>
                <w:szCs w:val="24"/>
                <w:highlight w:val="none"/>
              </w:rPr>
              <w:t>监测及评价结果</w:t>
            </w:r>
            <w:r>
              <w:rPr>
                <w:rFonts w:hint="eastAsia" w:ascii="Times New Roman" w:hAnsi="Times New Roman" w:eastAsia="宋体" w:cs="Times New Roman"/>
                <w:b/>
                <w:bCs/>
                <w:color w:val="auto"/>
                <w:spacing w:val="0"/>
                <w:w w:val="100"/>
                <w:position w:val="0"/>
                <w:sz w:val="24"/>
                <w:szCs w:val="24"/>
                <w:highlight w:val="none"/>
                <w:lang w:val="en-US" w:eastAsia="zh-CN"/>
              </w:rPr>
              <w:t xml:space="preserve">        </w:t>
            </w:r>
            <w:r>
              <w:rPr>
                <w:rFonts w:hint="eastAsia" w:cs="Times New Roman"/>
                <w:b/>
                <w:bCs/>
                <w:color w:val="auto"/>
                <w:spacing w:val="0"/>
                <w:w w:val="100"/>
                <w:position w:val="0"/>
                <w:sz w:val="24"/>
                <w:szCs w:val="24"/>
                <w:highlight w:val="none"/>
                <w:lang w:val="en-US" w:eastAsia="zh-CN"/>
              </w:rPr>
              <w:t xml:space="preserve">     </w:t>
            </w:r>
            <w:r>
              <w:rPr>
                <w:rFonts w:hint="eastAsia" w:ascii="Times New Roman" w:hAnsi="Times New Roman" w:eastAsia="宋体" w:cs="Times New Roman"/>
                <w:b/>
                <w:bCs/>
                <w:color w:val="auto"/>
                <w:spacing w:val="0"/>
                <w:w w:val="100"/>
                <w:position w:val="0"/>
                <w:sz w:val="24"/>
                <w:szCs w:val="24"/>
                <w:highlight w:val="none"/>
                <w:lang w:val="en-US" w:eastAsia="zh-CN"/>
              </w:rPr>
              <w:t xml:space="preserve">   </w:t>
            </w:r>
            <w:r>
              <w:rPr>
                <w:rFonts w:hint="default" w:ascii="Times New Roman" w:hAnsi="Times New Roman" w:eastAsia="宋体" w:cs="Times New Roman"/>
                <w:b/>
                <w:bCs/>
                <w:color w:val="auto"/>
                <w:spacing w:val="0"/>
                <w:w w:val="100"/>
                <w:position w:val="0"/>
                <w:sz w:val="24"/>
                <w:szCs w:val="24"/>
                <w:highlight w:val="none"/>
              </w:rPr>
              <w:t>mg/m</w:t>
            </w:r>
            <w:r>
              <w:rPr>
                <w:rFonts w:hint="default" w:ascii="Times New Roman" w:hAnsi="Times New Roman" w:eastAsia="宋体" w:cs="Times New Roman"/>
                <w:b/>
                <w:bCs/>
                <w:color w:val="auto"/>
                <w:spacing w:val="0"/>
                <w:w w:val="100"/>
                <w:position w:val="0"/>
                <w:sz w:val="24"/>
                <w:szCs w:val="24"/>
                <w:highlight w:val="none"/>
                <w:vertAlign w:val="superscript"/>
              </w:rPr>
              <w:t>3</w:t>
            </w:r>
          </w:p>
          <w:tbl>
            <w:tblPr>
              <w:tblStyle w:val="2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4"/>
              <w:gridCol w:w="1325"/>
              <w:gridCol w:w="1557"/>
              <w:gridCol w:w="1699"/>
              <w:gridCol w:w="1051"/>
              <w:gridCol w:w="832"/>
              <w:gridCol w:w="1072"/>
            </w:tblGrid>
            <w:tr w14:paraId="30A022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87" w:type="pct"/>
                  <w:vMerge w:val="restart"/>
                  <w:tcBorders>
                    <w:tl2br w:val="nil"/>
                    <w:tr2bl w:val="nil"/>
                  </w:tcBorders>
                  <w:noWrap w:val="0"/>
                  <w:vAlign w:val="center"/>
                </w:tcPr>
                <w:p w14:paraId="454CCE33">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监测点位</w:t>
                  </w:r>
                </w:p>
              </w:tc>
              <w:tc>
                <w:tcPr>
                  <w:tcW w:w="793" w:type="pct"/>
                  <w:vMerge w:val="restart"/>
                  <w:tcBorders>
                    <w:tl2br w:val="nil"/>
                    <w:tr2bl w:val="nil"/>
                  </w:tcBorders>
                  <w:noWrap w:val="0"/>
                  <w:vAlign w:val="center"/>
                </w:tcPr>
                <w:p w14:paraId="3C30947E">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监测项目</w:t>
                  </w:r>
                </w:p>
              </w:tc>
              <w:tc>
                <w:tcPr>
                  <w:tcW w:w="932" w:type="pct"/>
                  <w:vMerge w:val="restart"/>
                  <w:tcBorders>
                    <w:tl2br w:val="nil"/>
                    <w:tr2bl w:val="nil"/>
                  </w:tcBorders>
                  <w:noWrap w:val="0"/>
                  <w:vAlign w:val="center"/>
                </w:tcPr>
                <w:p w14:paraId="2D4FB3E9">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采样时间</w:t>
                  </w:r>
                </w:p>
              </w:tc>
              <w:tc>
                <w:tcPr>
                  <w:tcW w:w="1017" w:type="pct"/>
                  <w:tcBorders>
                    <w:tl2br w:val="nil"/>
                    <w:tr2bl w:val="nil"/>
                  </w:tcBorders>
                  <w:noWrap w:val="0"/>
                  <w:vAlign w:val="center"/>
                </w:tcPr>
                <w:p w14:paraId="54011AF7">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浓度值范围</w:t>
                  </w:r>
                </w:p>
              </w:tc>
              <w:tc>
                <w:tcPr>
                  <w:tcW w:w="629" w:type="pct"/>
                  <w:tcBorders>
                    <w:tl2br w:val="nil"/>
                    <w:tr2bl w:val="nil"/>
                  </w:tcBorders>
                  <w:noWrap w:val="0"/>
                  <w:vAlign w:val="center"/>
                </w:tcPr>
                <w:p w14:paraId="6EA1AB2C">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标准值</w:t>
                  </w:r>
                </w:p>
              </w:tc>
              <w:tc>
                <w:tcPr>
                  <w:tcW w:w="498" w:type="pct"/>
                  <w:tcBorders>
                    <w:tl2br w:val="nil"/>
                    <w:tr2bl w:val="nil"/>
                  </w:tcBorders>
                  <w:noWrap w:val="0"/>
                  <w:vAlign w:val="center"/>
                </w:tcPr>
                <w:p w14:paraId="31A19BE5">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超标率</w:t>
                  </w:r>
                </w:p>
              </w:tc>
              <w:tc>
                <w:tcPr>
                  <w:tcW w:w="641" w:type="pct"/>
                  <w:tcBorders>
                    <w:tl2br w:val="nil"/>
                    <w:tr2bl w:val="nil"/>
                  </w:tcBorders>
                  <w:noWrap w:val="0"/>
                  <w:vAlign w:val="center"/>
                </w:tcPr>
                <w:p w14:paraId="20B9E2A2">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b w:val="0"/>
                      <w:bCs/>
                      <w:color w:val="auto"/>
                      <w:spacing w:val="0"/>
                      <w:w w:val="100"/>
                      <w:position w:val="0"/>
                      <w:sz w:val="21"/>
                      <w:szCs w:val="21"/>
                      <w:highlight w:val="none"/>
                      <w:lang w:val="en-US" w:eastAsia="zh-CN"/>
                    </w:rPr>
                    <w:t>最大</w:t>
                  </w:r>
                  <w:r>
                    <w:rPr>
                      <w:rFonts w:hint="default" w:ascii="Times New Roman" w:hAnsi="Times New Roman" w:eastAsia="宋体" w:cs="Times New Roman"/>
                      <w:b w:val="0"/>
                      <w:bCs/>
                      <w:color w:val="auto"/>
                      <w:spacing w:val="0"/>
                      <w:w w:val="100"/>
                      <w:position w:val="0"/>
                      <w:sz w:val="21"/>
                      <w:szCs w:val="21"/>
                      <w:highlight w:val="none"/>
                      <w:lang w:val="en-US" w:eastAsia="zh-CN"/>
                    </w:rPr>
                    <w:t>占标率</w:t>
                  </w:r>
                </w:p>
              </w:tc>
            </w:tr>
            <w:tr w14:paraId="1C95B4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87" w:type="pct"/>
                  <w:vMerge w:val="continue"/>
                  <w:tcBorders>
                    <w:tl2br w:val="nil"/>
                    <w:tr2bl w:val="nil"/>
                  </w:tcBorders>
                  <w:noWrap w:val="0"/>
                  <w:vAlign w:val="center"/>
                </w:tcPr>
                <w:p w14:paraId="7001110D">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p>
              </w:tc>
              <w:tc>
                <w:tcPr>
                  <w:tcW w:w="793" w:type="pct"/>
                  <w:vMerge w:val="continue"/>
                  <w:tcBorders>
                    <w:tl2br w:val="nil"/>
                    <w:tr2bl w:val="nil"/>
                  </w:tcBorders>
                  <w:noWrap w:val="0"/>
                  <w:vAlign w:val="center"/>
                </w:tcPr>
                <w:p w14:paraId="6522C043">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p>
              </w:tc>
              <w:tc>
                <w:tcPr>
                  <w:tcW w:w="932" w:type="pct"/>
                  <w:vMerge w:val="continue"/>
                  <w:tcBorders>
                    <w:tl2br w:val="nil"/>
                    <w:tr2bl w:val="nil"/>
                  </w:tcBorders>
                  <w:noWrap w:val="0"/>
                  <w:vAlign w:val="center"/>
                </w:tcPr>
                <w:p w14:paraId="348B1801">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p>
              </w:tc>
              <w:tc>
                <w:tcPr>
                  <w:tcW w:w="1017" w:type="pct"/>
                  <w:tcBorders>
                    <w:tl2br w:val="nil"/>
                    <w:tr2bl w:val="nil"/>
                  </w:tcBorders>
                  <w:noWrap w:val="0"/>
                  <w:vAlign w:val="center"/>
                </w:tcPr>
                <w:p w14:paraId="1B041EF3">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24</w:t>
                  </w:r>
                  <w:r>
                    <w:rPr>
                      <w:rFonts w:hint="default" w:ascii="Times New Roman" w:hAnsi="Times New Roman" w:eastAsia="宋体" w:cs="Times New Roman"/>
                      <w:b w:val="0"/>
                      <w:bCs/>
                      <w:color w:val="auto"/>
                      <w:spacing w:val="0"/>
                      <w:w w:val="100"/>
                      <w:position w:val="0"/>
                      <w:sz w:val="21"/>
                      <w:szCs w:val="21"/>
                      <w:highlight w:val="none"/>
                      <w:lang w:val="en-US" w:eastAsia="zh-CN"/>
                    </w:rPr>
                    <w:t>小时浓度范围</w:t>
                  </w:r>
                </w:p>
              </w:tc>
              <w:tc>
                <w:tcPr>
                  <w:tcW w:w="629" w:type="pct"/>
                  <w:tcBorders>
                    <w:tl2br w:val="nil"/>
                    <w:tr2bl w:val="nil"/>
                  </w:tcBorders>
                  <w:noWrap w:val="0"/>
                  <w:vAlign w:val="center"/>
                </w:tcPr>
                <w:p w14:paraId="572297F1">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（mg/m</w:t>
                  </w:r>
                  <w:r>
                    <w:rPr>
                      <w:rFonts w:hint="default" w:ascii="Times New Roman" w:hAnsi="Times New Roman" w:eastAsia="宋体" w:cs="Times New Roman"/>
                      <w:b w:val="0"/>
                      <w:bCs/>
                      <w:color w:val="auto"/>
                      <w:spacing w:val="0"/>
                      <w:w w:val="100"/>
                      <w:position w:val="0"/>
                      <w:sz w:val="21"/>
                      <w:szCs w:val="21"/>
                      <w:highlight w:val="none"/>
                      <w:vertAlign w:val="superscript"/>
                      <w:lang w:val="en-US" w:eastAsia="zh-CN"/>
                    </w:rPr>
                    <w:t>3</w:t>
                  </w:r>
                  <w:r>
                    <w:rPr>
                      <w:rFonts w:hint="default" w:ascii="Times New Roman" w:hAnsi="Times New Roman" w:eastAsia="宋体" w:cs="Times New Roman"/>
                      <w:b w:val="0"/>
                      <w:bCs/>
                      <w:color w:val="auto"/>
                      <w:spacing w:val="0"/>
                      <w:w w:val="100"/>
                      <w:position w:val="0"/>
                      <w:sz w:val="21"/>
                      <w:szCs w:val="21"/>
                      <w:highlight w:val="none"/>
                      <w:lang w:val="en-US" w:eastAsia="zh-CN"/>
                    </w:rPr>
                    <w:t>）</w:t>
                  </w:r>
                </w:p>
              </w:tc>
              <w:tc>
                <w:tcPr>
                  <w:tcW w:w="498" w:type="pct"/>
                  <w:tcBorders>
                    <w:tl2br w:val="nil"/>
                    <w:tr2bl w:val="nil"/>
                  </w:tcBorders>
                  <w:noWrap w:val="0"/>
                  <w:vAlign w:val="center"/>
                </w:tcPr>
                <w:p w14:paraId="5AD657D3">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w:t>
                  </w:r>
                </w:p>
              </w:tc>
              <w:tc>
                <w:tcPr>
                  <w:tcW w:w="641" w:type="pct"/>
                  <w:tcBorders>
                    <w:tl2br w:val="nil"/>
                    <w:tr2bl w:val="nil"/>
                  </w:tcBorders>
                  <w:noWrap w:val="0"/>
                  <w:vAlign w:val="center"/>
                </w:tcPr>
                <w:p w14:paraId="3261B22A">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w:t>
                  </w:r>
                </w:p>
              </w:tc>
            </w:tr>
            <w:tr w14:paraId="1548F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87" w:type="pct"/>
                  <w:tcBorders>
                    <w:tl2br w:val="nil"/>
                    <w:tr2bl w:val="nil"/>
                  </w:tcBorders>
                  <w:noWrap w:val="0"/>
                  <w:vAlign w:val="center"/>
                </w:tcPr>
                <w:p w14:paraId="03A86DFB">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G1</w:t>
                  </w:r>
                </w:p>
              </w:tc>
              <w:tc>
                <w:tcPr>
                  <w:tcW w:w="793" w:type="pct"/>
                  <w:tcBorders>
                    <w:tl2br w:val="nil"/>
                    <w:tr2bl w:val="nil"/>
                  </w:tcBorders>
                  <w:noWrap w:val="0"/>
                  <w:vAlign w:val="center"/>
                </w:tcPr>
                <w:p w14:paraId="7AB70942">
                  <w:pPr>
                    <w:pStyle w:val="67"/>
                    <w:spacing w:before="6"/>
                    <w:jc w:val="center"/>
                    <w:rPr>
                      <w:rFonts w:hint="eastAsia" w:ascii="Times New Roman" w:hAnsi="Times New Roman"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TSP</w:t>
                  </w:r>
                </w:p>
              </w:tc>
              <w:tc>
                <w:tcPr>
                  <w:tcW w:w="932" w:type="pct"/>
                  <w:tcBorders>
                    <w:tl2br w:val="nil"/>
                    <w:tr2bl w:val="nil"/>
                  </w:tcBorders>
                  <w:noWrap w:val="0"/>
                  <w:vAlign w:val="center"/>
                </w:tcPr>
                <w:p w14:paraId="17707477">
                  <w:pPr>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202</w:t>
                  </w:r>
                  <w:r>
                    <w:rPr>
                      <w:rFonts w:hint="eastAsia" w:cs="Times New Roman"/>
                      <w:color w:val="auto"/>
                      <w:kern w:val="2"/>
                      <w:sz w:val="21"/>
                      <w:szCs w:val="21"/>
                      <w:highlight w:val="none"/>
                      <w:lang w:val="en-US" w:eastAsia="zh-CN" w:bidi="ar-SA"/>
                    </w:rPr>
                    <w:t>5.4.10-2025.4.12</w:t>
                  </w:r>
                </w:p>
              </w:tc>
              <w:tc>
                <w:tcPr>
                  <w:tcW w:w="1017" w:type="pct"/>
                  <w:tcBorders>
                    <w:tl2br w:val="nil"/>
                    <w:tr2bl w:val="nil"/>
                  </w:tcBorders>
                  <w:noWrap w:val="0"/>
                  <w:vAlign w:val="center"/>
                </w:tcPr>
                <w:p w14:paraId="66881D22">
                  <w:pPr>
                    <w:pStyle w:val="67"/>
                    <w:shd w:val="clear" w:color="auto" w:fill="auto"/>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0.07-0.091</w:t>
                  </w:r>
                </w:p>
              </w:tc>
              <w:tc>
                <w:tcPr>
                  <w:tcW w:w="629" w:type="pct"/>
                  <w:tcBorders>
                    <w:tl2br w:val="nil"/>
                    <w:tr2bl w:val="nil"/>
                  </w:tcBorders>
                  <w:noWrap w:val="0"/>
                  <w:vAlign w:val="center"/>
                </w:tcPr>
                <w:p w14:paraId="60FA00D5">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0.3</w:t>
                  </w:r>
                </w:p>
              </w:tc>
              <w:tc>
                <w:tcPr>
                  <w:tcW w:w="498" w:type="pct"/>
                  <w:tcBorders>
                    <w:tl2br w:val="nil"/>
                    <w:tr2bl w:val="nil"/>
                  </w:tcBorders>
                  <w:noWrap w:val="0"/>
                  <w:vAlign w:val="center"/>
                </w:tcPr>
                <w:p w14:paraId="5DDB4D92">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default" w:ascii="Times New Roman" w:hAnsi="Times New Roman" w:eastAsia="宋体" w:cs="Times New Roman"/>
                      <w:b w:val="0"/>
                      <w:bCs/>
                      <w:color w:val="auto"/>
                      <w:spacing w:val="0"/>
                      <w:w w:val="100"/>
                      <w:position w:val="0"/>
                      <w:sz w:val="21"/>
                      <w:szCs w:val="21"/>
                      <w:highlight w:val="none"/>
                      <w:lang w:val="en-US" w:eastAsia="zh-CN"/>
                    </w:rPr>
                    <w:t>0</w:t>
                  </w:r>
                </w:p>
              </w:tc>
              <w:tc>
                <w:tcPr>
                  <w:tcW w:w="641" w:type="pct"/>
                  <w:tcBorders>
                    <w:tl2br w:val="nil"/>
                    <w:tr2bl w:val="nil"/>
                  </w:tcBorders>
                  <w:noWrap w:val="0"/>
                  <w:vAlign w:val="center"/>
                </w:tcPr>
                <w:p w14:paraId="3519D767">
                  <w:pPr>
                    <w:pStyle w:val="67"/>
                    <w:spacing w:before="6"/>
                    <w:jc w:val="center"/>
                    <w:rPr>
                      <w:rFonts w:hint="default" w:ascii="Times New Roman" w:hAnsi="Times New Roman" w:eastAsia="宋体" w:cs="Times New Roman"/>
                      <w:b w:val="0"/>
                      <w:bCs/>
                      <w:color w:val="auto"/>
                      <w:spacing w:val="0"/>
                      <w:w w:val="100"/>
                      <w:position w:val="0"/>
                      <w:sz w:val="21"/>
                      <w:szCs w:val="21"/>
                      <w:highlight w:val="none"/>
                      <w:lang w:val="en-US" w:eastAsia="zh-CN"/>
                    </w:rPr>
                  </w:pPr>
                  <w:r>
                    <w:rPr>
                      <w:rFonts w:hint="eastAsia" w:ascii="Times New Roman" w:hAnsi="Times New Roman" w:cs="Times New Roman"/>
                      <w:b w:val="0"/>
                      <w:bCs/>
                      <w:color w:val="auto"/>
                      <w:spacing w:val="0"/>
                      <w:w w:val="100"/>
                      <w:position w:val="0"/>
                      <w:sz w:val="21"/>
                      <w:szCs w:val="21"/>
                      <w:highlight w:val="none"/>
                      <w:lang w:val="en-US" w:eastAsia="zh-CN"/>
                    </w:rPr>
                    <w:t>30.33</w:t>
                  </w:r>
                </w:p>
              </w:tc>
            </w:tr>
          </w:tbl>
          <w:p w14:paraId="54C67F81">
            <w:pPr>
              <w:spacing w:line="520" w:lineRule="exact"/>
              <w:ind w:firstLine="480" w:firstLineChars="200"/>
              <w:rPr>
                <w:rFonts w:hint="default" w:ascii="Times New Roman" w:hAnsi="Times New Roman" w:eastAsia="宋体" w:cs="Times New Roman"/>
                <w:b w:val="0"/>
                <w:bCs w:val="0"/>
                <w:color w:val="auto"/>
                <w:sz w:val="24"/>
                <w:szCs w:val="22"/>
                <w:highlight w:val="none"/>
                <w:lang w:val="en-US" w:eastAsia="zh-CN"/>
              </w:rPr>
            </w:pPr>
            <w:r>
              <w:rPr>
                <w:rFonts w:hint="default" w:ascii="Times New Roman" w:hAnsi="Times New Roman" w:eastAsia="宋体" w:cs="Times New Roman"/>
                <w:color w:val="auto"/>
                <w:spacing w:val="0"/>
                <w:w w:val="100"/>
                <w:position w:val="0"/>
                <w:sz w:val="24"/>
                <w:szCs w:val="24"/>
                <w:highlight w:val="none"/>
              </w:rPr>
              <w:t>由监测结果可知</w:t>
            </w:r>
            <w:r>
              <w:rPr>
                <w:rFonts w:hint="eastAsia" w:ascii="Times New Roman" w:hAnsi="Times New Roman" w:eastAsia="宋体" w:cs="Times New Roman"/>
                <w:color w:val="auto"/>
                <w:spacing w:val="0"/>
                <w:w w:val="100"/>
                <w:position w:val="0"/>
                <w:sz w:val="24"/>
                <w:szCs w:val="24"/>
                <w:highlight w:val="none"/>
                <w:lang w:val="en-US" w:eastAsia="zh-CN"/>
              </w:rPr>
              <w:t>TSP</w:t>
            </w:r>
            <w:r>
              <w:rPr>
                <w:rFonts w:hint="default" w:ascii="Times New Roman" w:hAnsi="Times New Roman" w:eastAsia="宋体" w:cs="Times New Roman"/>
                <w:color w:val="auto"/>
                <w:spacing w:val="0"/>
                <w:w w:val="100"/>
                <w:position w:val="0"/>
                <w:sz w:val="24"/>
                <w:szCs w:val="24"/>
                <w:highlight w:val="none"/>
              </w:rPr>
              <w:t>满足</w:t>
            </w:r>
            <w:r>
              <w:rPr>
                <w:rFonts w:hint="default" w:ascii="Times New Roman" w:hAnsi="Times New Roman" w:eastAsia="宋体" w:cs="Times New Roman"/>
                <w:color w:val="auto"/>
                <w:kern w:val="24"/>
                <w:sz w:val="24"/>
                <w:szCs w:val="24"/>
                <w:highlight w:val="none"/>
              </w:rPr>
              <w:t>《</w:t>
            </w:r>
            <w:r>
              <w:rPr>
                <w:rFonts w:hint="eastAsia" w:ascii="Times New Roman" w:hAnsi="Times New Roman" w:eastAsia="宋体" w:cs="Times New Roman"/>
                <w:color w:val="auto"/>
                <w:kern w:val="24"/>
                <w:sz w:val="24"/>
                <w:szCs w:val="24"/>
                <w:highlight w:val="none"/>
                <w:lang w:eastAsia="zh-CN"/>
              </w:rPr>
              <w:t>环境空气质量标准</w:t>
            </w:r>
            <w:r>
              <w:rPr>
                <w:rFonts w:hint="default" w:ascii="Times New Roman" w:hAnsi="Times New Roman" w:eastAsia="宋体" w:cs="Times New Roman"/>
                <w:color w:val="auto"/>
                <w:kern w:val="24"/>
                <w:sz w:val="24"/>
                <w:szCs w:val="24"/>
                <w:highlight w:val="none"/>
              </w:rPr>
              <w:t>》中</w:t>
            </w:r>
            <w:r>
              <w:rPr>
                <w:rFonts w:hint="eastAsia" w:ascii="Times New Roman" w:hAnsi="Times New Roman" w:eastAsia="宋体" w:cs="Times New Roman"/>
                <w:color w:val="auto"/>
                <w:kern w:val="24"/>
                <w:sz w:val="24"/>
                <w:szCs w:val="24"/>
                <w:highlight w:val="none"/>
                <w:lang w:eastAsia="zh-CN"/>
              </w:rPr>
              <w:t>表</w:t>
            </w:r>
            <w:r>
              <w:rPr>
                <w:rFonts w:hint="eastAsia" w:ascii="Times New Roman" w:hAnsi="Times New Roman" w:eastAsia="宋体" w:cs="Times New Roman"/>
                <w:color w:val="auto"/>
                <w:kern w:val="24"/>
                <w:sz w:val="24"/>
                <w:szCs w:val="24"/>
                <w:highlight w:val="none"/>
                <w:lang w:val="en-US" w:eastAsia="zh-CN"/>
              </w:rPr>
              <w:t>2环境空气污染物其他项目二级浓度限值0.3</w:t>
            </w:r>
            <w:r>
              <w:rPr>
                <w:rFonts w:hint="default" w:ascii="Times New Roman" w:hAnsi="Times New Roman" w:eastAsia="宋体" w:cs="Times New Roman"/>
                <w:color w:val="auto"/>
                <w:kern w:val="24"/>
                <w:sz w:val="24"/>
                <w:szCs w:val="24"/>
                <w:highlight w:val="none"/>
                <w:lang w:val="en-US" w:eastAsia="zh-CN"/>
              </w:rPr>
              <w:t>mg/m</w:t>
            </w:r>
            <w:r>
              <w:rPr>
                <w:rFonts w:hint="default" w:ascii="Times New Roman" w:hAnsi="Times New Roman" w:eastAsia="宋体" w:cs="Times New Roman"/>
                <w:color w:val="auto"/>
                <w:kern w:val="24"/>
                <w:sz w:val="24"/>
                <w:szCs w:val="24"/>
                <w:highlight w:val="none"/>
                <w:vertAlign w:val="superscript"/>
                <w:lang w:val="en-US" w:eastAsia="zh-CN"/>
              </w:rPr>
              <w:t>3</w:t>
            </w:r>
            <w:r>
              <w:rPr>
                <w:rFonts w:hint="default" w:ascii="Times New Roman" w:hAnsi="Times New Roman" w:eastAsia="宋体" w:cs="Times New Roman"/>
                <w:color w:val="auto"/>
                <w:spacing w:val="0"/>
                <w:w w:val="100"/>
                <w:position w:val="0"/>
                <w:sz w:val="24"/>
                <w:szCs w:val="24"/>
                <w:highlight w:val="none"/>
              </w:rPr>
              <w:t>。</w:t>
            </w:r>
          </w:p>
          <w:p w14:paraId="4ADC4B5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default" w:ascii="Times New Roman" w:hAnsi="Times New Roman" w:eastAsia="宋体" w:cs="Times New Roman"/>
                <w:b/>
                <w:bCs/>
                <w:color w:val="auto"/>
                <w:kern w:val="44"/>
                <w:sz w:val="24"/>
                <w:szCs w:val="24"/>
                <w:highlight w:val="none"/>
                <w:lang w:val="en-US" w:eastAsia="zh-CN"/>
              </w:rPr>
              <w:t>2 地表水环境质量现状及评价</w:t>
            </w:r>
          </w:p>
          <w:p w14:paraId="11526637">
            <w:pPr>
              <w:spacing w:line="360" w:lineRule="auto"/>
              <w:ind w:firstLine="480" w:firstLineChars="200"/>
              <w:rPr>
                <w:bCs/>
                <w:color w:val="000000"/>
                <w:sz w:val="24"/>
              </w:rPr>
            </w:pPr>
            <w:r>
              <w:rPr>
                <w:bCs/>
                <w:color w:val="auto"/>
                <w:sz w:val="24"/>
              </w:rPr>
              <w:t>根据伊犁州生态环境局于2023年12月16日公布的2023年11月伊犁州直地表水（河流）水质信息，伊犁河察布</w:t>
            </w:r>
            <w:r>
              <w:rPr>
                <w:bCs/>
                <w:color w:val="000000"/>
                <w:sz w:val="24"/>
              </w:rPr>
              <w:t>查尔县绰霍尔乡断面现状水质类别均为Ⅱ类，满足《地表水环境质量标准》（GB3838—2002）Ⅱ类水质标准要求。</w:t>
            </w:r>
          </w:p>
          <w:p w14:paraId="3DF75FE4">
            <w:pPr>
              <w:spacing w:line="360" w:lineRule="auto"/>
              <w:ind w:firstLine="480" w:firstLineChars="200"/>
              <w:rPr>
                <w:rFonts w:hint="default" w:ascii="Times New Roman" w:hAnsi="Times New Roman" w:eastAsia="宋体" w:cs="Times New Roman"/>
                <w:color w:val="auto"/>
                <w:sz w:val="24"/>
                <w:szCs w:val="20"/>
                <w:highlight w:val="none"/>
                <w:lang w:val="en-US" w:eastAsia="zh-CN"/>
              </w:rPr>
            </w:pPr>
            <w:r>
              <w:rPr>
                <w:bCs/>
                <w:color w:val="000000"/>
                <w:sz w:val="24"/>
              </w:rPr>
              <w:t>伊犁州生态环境局公布结论截图见下图。</w:t>
            </w:r>
          </w:p>
          <w:p w14:paraId="374DF58E">
            <w:pPr>
              <w:jc w:val="center"/>
              <w:rPr>
                <w:rFonts w:hint="default" w:ascii="Times New Roman" w:hAnsi="Times New Roman" w:cs="Times New Roman"/>
                <w:color w:val="auto"/>
                <w:highlight w:val="none"/>
                <w:lang w:val="en-US" w:eastAsia="zh-CN"/>
              </w:rPr>
            </w:pPr>
            <w:r>
              <w:rPr>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1104265</wp:posOffset>
                      </wp:positionH>
                      <wp:positionV relativeFrom="paragraph">
                        <wp:posOffset>2477135</wp:posOffset>
                      </wp:positionV>
                      <wp:extent cx="1264285" cy="139065"/>
                      <wp:effectExtent l="12700" t="12700" r="18415" b="19685"/>
                      <wp:wrapNone/>
                      <wp:docPr id="5" name="矩形 5"/>
                      <wp:cNvGraphicFramePr/>
                      <a:graphic xmlns:a="http://schemas.openxmlformats.org/drawingml/2006/main">
                        <a:graphicData uri="http://schemas.microsoft.com/office/word/2010/wordprocessingShape">
                          <wps:wsp>
                            <wps:cNvSpPr/>
                            <wps:spPr>
                              <a:xfrm>
                                <a:off x="3356610" y="4053840"/>
                                <a:ext cx="1264285" cy="13906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95pt;margin-top:195.05pt;height:10.95pt;width:99.55pt;z-index:251659264;v-text-anchor:middle;mso-width-relative:page;mso-height-relative:page;" filled="f" stroked="t" coordsize="21600,21600" o:gfxdata="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dPiQ9kAAAALAQAADwAAAAAAAAABACAAAAAiAAAAZHJzL2Rvd25yZXYu&#10;eG1sUEsBAhQAFAAAAAgAh07iQKEOtO9sAgAAwAQAAA4AAAAAAAAAAQAgAAAAKAEAAGRycy9lMm9E&#10;b2MueG1sUEsFBgAAAAAGAAYAWQEAAAYGAAAAAA==&#10;">
                      <v:fill on="f" focussize="0,0"/>
                      <v:stroke weight="2pt" color="#FF0000 [2404]" joinstyle="round"/>
                      <v:imagedata o:title=""/>
                      <o:lock v:ext="edit" aspectratio="f"/>
                    </v:rect>
                  </w:pict>
                </mc:Fallback>
              </mc:AlternateContent>
            </w:r>
            <w:r>
              <w:drawing>
                <wp:inline distT="0" distB="0" distL="114300" distR="114300">
                  <wp:extent cx="5306695" cy="3669665"/>
                  <wp:effectExtent l="0" t="0" r="825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306695" cy="3669665"/>
                          </a:xfrm>
                          <a:prstGeom prst="rect">
                            <a:avLst/>
                          </a:prstGeom>
                          <a:noFill/>
                          <a:ln>
                            <a:noFill/>
                          </a:ln>
                        </pic:spPr>
                      </pic:pic>
                    </a:graphicData>
                  </a:graphic>
                </wp:inline>
              </w:drawing>
            </w:r>
          </w:p>
          <w:p w14:paraId="2DD401A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default" w:ascii="Times New Roman" w:hAnsi="Times New Roman" w:eastAsia="宋体" w:cs="Times New Roman"/>
                <w:b/>
                <w:bCs/>
                <w:color w:val="auto"/>
                <w:kern w:val="44"/>
                <w:sz w:val="24"/>
                <w:szCs w:val="24"/>
                <w:highlight w:val="none"/>
                <w:lang w:val="en-US" w:eastAsia="zh-CN"/>
              </w:rPr>
              <w:t>3 声环境质量现状及评价</w:t>
            </w:r>
          </w:p>
          <w:p w14:paraId="08BC3895">
            <w:pPr>
              <w:spacing w:line="360" w:lineRule="auto"/>
              <w:ind w:firstLine="480" w:firstLineChars="200"/>
              <w:rPr>
                <w:color w:val="auto"/>
                <w:sz w:val="24"/>
                <w:szCs w:val="22"/>
              </w:rPr>
            </w:pPr>
            <w:r>
              <w:rPr>
                <w:color w:val="auto"/>
                <w:sz w:val="24"/>
                <w:szCs w:val="22"/>
              </w:rPr>
              <w:t>根据《建设项目环境影响报告表编制技术指南（污染影响类）》（试行）：厂界外50m范围内存在声环境保护目标的建设项目，应监测保护目标声环境现状并评价达标情况。</w:t>
            </w:r>
          </w:p>
          <w:p w14:paraId="2D487457">
            <w:pPr>
              <w:spacing w:line="360" w:lineRule="auto"/>
              <w:ind w:firstLine="480" w:firstLineChars="200"/>
              <w:rPr>
                <w:rFonts w:hint="default" w:ascii="Times New Roman" w:hAnsi="Times New Roman" w:eastAsia="宋体" w:cs="Times New Roman"/>
                <w:color w:val="auto"/>
                <w:kern w:val="2"/>
                <w:sz w:val="24"/>
                <w:szCs w:val="20"/>
                <w:highlight w:val="none"/>
                <w:lang w:val="en-US" w:eastAsia="zh-CN" w:bidi="ar-SA"/>
              </w:rPr>
            </w:pPr>
            <w:r>
              <w:rPr>
                <w:color w:val="auto"/>
                <w:sz w:val="24"/>
                <w:szCs w:val="22"/>
              </w:rPr>
              <w:t>根据现场踏勘，本项目</w:t>
            </w:r>
            <w:r>
              <w:rPr>
                <w:rFonts w:hint="eastAsia"/>
                <w:color w:val="auto"/>
                <w:sz w:val="24"/>
                <w:szCs w:val="22"/>
              </w:rPr>
              <w:t>场</w:t>
            </w:r>
            <w:r>
              <w:rPr>
                <w:color w:val="auto"/>
                <w:sz w:val="24"/>
                <w:szCs w:val="22"/>
              </w:rPr>
              <w:t>界外50m范围内不存在声环境保护目标，故不开展声环境质量现状调查。</w:t>
            </w:r>
          </w:p>
          <w:p w14:paraId="5F78AEBF">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default" w:ascii="Times New Roman" w:hAnsi="Times New Roman" w:eastAsia="宋体" w:cs="Times New Roman"/>
                <w:b/>
                <w:bCs/>
                <w:color w:val="auto"/>
                <w:kern w:val="44"/>
                <w:sz w:val="24"/>
                <w:szCs w:val="24"/>
                <w:highlight w:val="none"/>
                <w:lang w:val="en-US" w:eastAsia="zh-CN"/>
              </w:rPr>
              <w:t>4 地下水环境现状调查与评价</w:t>
            </w:r>
          </w:p>
          <w:p w14:paraId="48899AAE">
            <w:pPr>
              <w:autoSpaceDE w:val="0"/>
              <w:autoSpaceDN w:val="0"/>
              <w:spacing w:line="360" w:lineRule="auto"/>
              <w:ind w:firstLine="480" w:firstLineChars="200"/>
              <w:rPr>
                <w:rFonts w:hint="eastAsia"/>
                <w:color w:val="auto"/>
                <w:kern w:val="0"/>
                <w:sz w:val="24"/>
              </w:rPr>
            </w:pPr>
            <w:r>
              <w:rPr>
                <w:rFonts w:hint="eastAsia"/>
                <w:color w:val="auto"/>
                <w:kern w:val="0"/>
                <w:sz w:val="24"/>
              </w:rPr>
              <w:t>根据《环境影响评价技术导则地下水环境》（HJ 610-2016）附录A地下水环境影响评价行业分类表判定，本项目属于“155、废旧资源（含生物质</w:t>
            </w:r>
            <w:r>
              <w:rPr>
                <w:rFonts w:hint="eastAsia"/>
                <w:color w:val="auto"/>
                <w:kern w:val="0"/>
                <w:sz w:val="24"/>
                <w:lang w:eastAsia="zh-CN"/>
              </w:rPr>
              <w:t>）</w:t>
            </w:r>
            <w:r>
              <w:rPr>
                <w:rFonts w:hint="eastAsia"/>
                <w:color w:val="auto"/>
                <w:kern w:val="0"/>
                <w:sz w:val="24"/>
              </w:rPr>
              <w:t>加工、再生利用”，该项目地下水环境影响评价项目类别为Ⅳ类</w:t>
            </w:r>
            <w:r>
              <w:rPr>
                <w:rFonts w:hint="eastAsia"/>
                <w:color w:val="auto"/>
                <w:kern w:val="0"/>
                <w:sz w:val="24"/>
                <w:lang w:eastAsia="zh-CN"/>
              </w:rPr>
              <w:t>，</w:t>
            </w:r>
            <w:r>
              <w:rPr>
                <w:bCs/>
                <w:color w:val="000000"/>
                <w:sz w:val="24"/>
              </w:rPr>
              <w:t>因此本项目可不开展</w:t>
            </w:r>
            <w:r>
              <w:rPr>
                <w:rFonts w:hint="eastAsia"/>
                <w:bCs/>
                <w:color w:val="000000"/>
                <w:sz w:val="24"/>
                <w:lang w:val="en-US" w:eastAsia="zh-CN"/>
              </w:rPr>
              <w:t>地下水</w:t>
            </w:r>
            <w:r>
              <w:rPr>
                <w:bCs/>
                <w:color w:val="000000"/>
                <w:sz w:val="24"/>
              </w:rPr>
              <w:t>环境影响评价</w:t>
            </w:r>
            <w:r>
              <w:rPr>
                <w:rFonts w:hint="eastAsia"/>
                <w:color w:val="auto"/>
                <w:kern w:val="0"/>
                <w:sz w:val="24"/>
              </w:rPr>
              <w:t>。</w:t>
            </w:r>
          </w:p>
          <w:p w14:paraId="02DEE31E">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outlineLvl w:val="0"/>
              <w:rPr>
                <w:rFonts w:hint="default" w:ascii="Times New Roman" w:hAnsi="Times New Roman" w:eastAsia="宋体" w:cs="Times New Roman"/>
                <w:b/>
                <w:bCs/>
                <w:color w:val="auto"/>
                <w:kern w:val="44"/>
                <w:sz w:val="24"/>
                <w:szCs w:val="24"/>
                <w:highlight w:val="none"/>
                <w:lang w:val="en-US" w:eastAsia="zh-CN"/>
              </w:rPr>
            </w:pPr>
            <w:r>
              <w:rPr>
                <w:rFonts w:hint="eastAsia" w:ascii="Times New Roman" w:hAnsi="Times New Roman" w:cs="Times New Roman"/>
                <w:b/>
                <w:bCs/>
                <w:color w:val="auto"/>
                <w:kern w:val="44"/>
                <w:sz w:val="24"/>
                <w:szCs w:val="24"/>
                <w:highlight w:val="none"/>
                <w:lang w:val="en-US" w:eastAsia="zh-CN"/>
              </w:rPr>
              <w:t xml:space="preserve">5 </w:t>
            </w:r>
            <w:r>
              <w:rPr>
                <w:rFonts w:hint="default" w:ascii="Times New Roman" w:hAnsi="Times New Roman" w:eastAsia="宋体" w:cs="Times New Roman"/>
                <w:b/>
                <w:bCs/>
                <w:color w:val="auto"/>
                <w:kern w:val="44"/>
                <w:sz w:val="24"/>
                <w:szCs w:val="24"/>
                <w:highlight w:val="none"/>
                <w:lang w:val="en-US" w:eastAsia="zh-CN"/>
              </w:rPr>
              <w:t>地下水环境现状调查与评价</w:t>
            </w:r>
          </w:p>
          <w:p w14:paraId="5880EFF4">
            <w:pPr>
              <w:autoSpaceDE w:val="0"/>
              <w:autoSpaceDN w:val="0"/>
              <w:spacing w:line="360" w:lineRule="auto"/>
              <w:ind w:firstLine="480" w:firstLineChars="200"/>
              <w:rPr>
                <w:rFonts w:hint="eastAsia" w:ascii="Times New Roman" w:hAnsi="Times New Roman" w:cs="Times New Roman"/>
                <w:bCs/>
                <w:color w:val="000000"/>
                <w:sz w:val="24"/>
              </w:rPr>
            </w:pPr>
            <w:r>
              <w:rPr>
                <w:rFonts w:hint="eastAsia" w:ascii="Times New Roman" w:hAnsi="Times New Roman" w:cs="Times New Roman"/>
                <w:bCs/>
                <w:color w:val="000000"/>
                <w:sz w:val="24"/>
              </w:rPr>
              <w:t>根据《环境影响评价技术导则</w:t>
            </w:r>
            <w:r>
              <w:rPr>
                <w:rFonts w:hint="eastAsia" w:ascii="Times New Roman" w:hAnsi="Times New Roman" w:cs="Times New Roman"/>
                <w:bCs/>
                <w:color w:val="000000"/>
                <w:sz w:val="24"/>
                <w:lang w:val="en-US" w:eastAsia="zh-CN"/>
              </w:rPr>
              <w:t>土壤</w:t>
            </w:r>
            <w:r>
              <w:rPr>
                <w:rFonts w:hint="eastAsia" w:ascii="Times New Roman" w:hAnsi="Times New Roman" w:cs="Times New Roman"/>
                <w:bCs/>
                <w:color w:val="000000"/>
                <w:sz w:val="24"/>
              </w:rPr>
              <w:t>环境》（HJ</w:t>
            </w:r>
            <w:r>
              <w:rPr>
                <w:rFonts w:hint="eastAsia" w:ascii="Times New Roman" w:hAnsi="Times New Roman" w:cs="Times New Roman"/>
                <w:bCs/>
                <w:color w:val="000000"/>
                <w:sz w:val="24"/>
                <w:lang w:val="en-US" w:eastAsia="zh-CN"/>
              </w:rPr>
              <w:t>964</w:t>
            </w:r>
            <w:r>
              <w:rPr>
                <w:rFonts w:hint="eastAsia" w:ascii="Times New Roman" w:hAnsi="Times New Roman" w:cs="Times New Roman"/>
                <w:bCs/>
                <w:color w:val="000000"/>
                <w:sz w:val="24"/>
              </w:rPr>
              <w:t>-201</w:t>
            </w:r>
            <w:r>
              <w:rPr>
                <w:rFonts w:hint="eastAsia" w:ascii="Times New Roman" w:hAnsi="Times New Roman" w:cs="Times New Roman"/>
                <w:bCs/>
                <w:color w:val="000000"/>
                <w:sz w:val="24"/>
                <w:lang w:val="en-US" w:eastAsia="zh-CN"/>
              </w:rPr>
              <w:t>8</w:t>
            </w:r>
            <w:r>
              <w:rPr>
                <w:rFonts w:hint="eastAsia" w:ascii="Times New Roman" w:hAnsi="Times New Roman" w:cs="Times New Roman"/>
                <w:bCs/>
                <w:color w:val="000000"/>
                <w:sz w:val="24"/>
              </w:rPr>
              <w:t>）附录A</w:t>
            </w:r>
            <w:r>
              <w:rPr>
                <w:rFonts w:hint="eastAsia" w:ascii="Times New Roman" w:hAnsi="Times New Roman" w:cs="Times New Roman"/>
                <w:bCs/>
                <w:color w:val="000000"/>
                <w:sz w:val="24"/>
                <w:lang w:val="en-US" w:eastAsia="zh-CN"/>
              </w:rPr>
              <w:t>土壤</w:t>
            </w:r>
            <w:r>
              <w:rPr>
                <w:rFonts w:hint="eastAsia" w:ascii="Times New Roman" w:hAnsi="Times New Roman" w:cs="Times New Roman"/>
                <w:bCs/>
                <w:color w:val="000000"/>
                <w:sz w:val="24"/>
              </w:rPr>
              <w:t>水环境影响评价行业分类表判定，本项目属于</w:t>
            </w:r>
            <w:r>
              <w:rPr>
                <w:rFonts w:hint="eastAsia" w:ascii="Times New Roman" w:hAnsi="Times New Roman" w:cs="Times New Roman"/>
                <w:bCs/>
                <w:color w:val="000000"/>
                <w:sz w:val="24"/>
                <w:lang w:val="en-US" w:eastAsia="zh-CN"/>
              </w:rPr>
              <w:t>土壤</w:t>
            </w:r>
            <w:r>
              <w:rPr>
                <w:rFonts w:hint="eastAsia" w:ascii="Times New Roman" w:hAnsi="Times New Roman" w:cs="Times New Roman"/>
                <w:bCs/>
                <w:color w:val="000000"/>
                <w:sz w:val="24"/>
              </w:rPr>
              <w:t>环境影响评价项目类别为Ⅳ类</w:t>
            </w:r>
            <w:r>
              <w:rPr>
                <w:rFonts w:hint="eastAsia" w:ascii="Times New Roman" w:hAnsi="Times New Roman" w:cs="Times New Roman"/>
                <w:bCs/>
                <w:color w:val="000000"/>
                <w:sz w:val="24"/>
                <w:lang w:eastAsia="zh-CN"/>
              </w:rPr>
              <w:t>，</w:t>
            </w:r>
            <w:r>
              <w:rPr>
                <w:rFonts w:ascii="Times New Roman" w:hAnsi="Times New Roman" w:cs="Times New Roman"/>
                <w:bCs/>
                <w:color w:val="000000"/>
                <w:sz w:val="24"/>
              </w:rPr>
              <w:t>因此本项目可不开展</w:t>
            </w:r>
            <w:r>
              <w:rPr>
                <w:rFonts w:hint="eastAsia" w:ascii="Times New Roman" w:hAnsi="Times New Roman" w:cs="Times New Roman"/>
                <w:bCs/>
                <w:color w:val="000000"/>
                <w:sz w:val="24"/>
                <w:lang w:val="en-US" w:eastAsia="zh-CN"/>
              </w:rPr>
              <w:t>土壤</w:t>
            </w:r>
            <w:r>
              <w:rPr>
                <w:rFonts w:ascii="Times New Roman" w:hAnsi="Times New Roman" w:cs="Times New Roman"/>
                <w:bCs/>
                <w:color w:val="000000"/>
                <w:sz w:val="24"/>
              </w:rPr>
              <w:t>环境影响评价</w:t>
            </w:r>
            <w:r>
              <w:rPr>
                <w:rFonts w:hint="eastAsia" w:ascii="Times New Roman" w:hAnsi="Times New Roman" w:cs="Times New Roman"/>
                <w:bCs/>
                <w:color w:val="000000"/>
                <w:sz w:val="24"/>
              </w:rPr>
              <w:t>。</w:t>
            </w:r>
          </w:p>
          <w:p w14:paraId="21642A2F">
            <w:pPr>
              <w:pStyle w:val="9"/>
              <w:keepNext w:val="0"/>
              <w:keepLines w:val="0"/>
              <w:tabs>
                <w:tab w:val="left" w:pos="1270"/>
              </w:tabs>
              <w:spacing w:before="0" w:beforeLines="0" w:after="0" w:afterLines="0" w:line="360" w:lineRule="auto"/>
              <w:jc w:val="left"/>
            </w:pPr>
            <w:r>
              <w:rPr>
                <w:rFonts w:hint="eastAsia"/>
                <w:color w:val="auto"/>
                <w:sz w:val="24"/>
                <w:szCs w:val="24"/>
                <w:lang w:val="en-US" w:eastAsia="zh-CN"/>
              </w:rPr>
              <w:t>6</w:t>
            </w:r>
            <w:r>
              <w:rPr>
                <w:rFonts w:eastAsia="宋体"/>
                <w:color w:val="auto"/>
                <w:sz w:val="24"/>
                <w:szCs w:val="24"/>
              </w:rPr>
              <w:t xml:space="preserve"> 生态环境调查与评价</w:t>
            </w:r>
          </w:p>
          <w:p w14:paraId="0154015E">
            <w:pPr>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根据《新疆生产建设兵团生态功能区划》，</w:t>
            </w:r>
            <w:r>
              <w:rPr>
                <w:rFonts w:hint="eastAsia" w:ascii="Times New Roman" w:hAnsi="Times New Roman" w:eastAsia="宋体" w:cs="Times New Roman"/>
                <w:color w:val="auto"/>
                <w:sz w:val="24"/>
                <w:szCs w:val="24"/>
                <w:highlight w:val="none"/>
                <w:lang w:val="en-US" w:eastAsia="zh-CN"/>
              </w:rPr>
              <w:t>相关内容</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本工程所在区域属于Ⅲ</w:t>
            </w:r>
            <w:r>
              <w:rPr>
                <w:rFonts w:hint="eastAsia" w:ascii="Times New Roman" w:hAnsi="Times New Roman" w:eastAsia="宋体" w:cs="Times New Roman"/>
                <w:color w:val="auto"/>
                <w:sz w:val="24"/>
                <w:szCs w:val="24"/>
                <w:highlight w:val="none"/>
                <w:vertAlign w:val="baseline"/>
                <w:lang w:val="en-US" w:eastAsia="zh-CN"/>
              </w:rPr>
              <w:t>兵团天山山地干旱草原、针叶林生态区</w:t>
            </w:r>
            <w:r>
              <w:rPr>
                <w:rFonts w:hint="default"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四师西部天山草原、针叶林水源涵养及伊犁河谷地绿洲生态亚区，1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四师伊犁河谷平原绿洲农业、水土流失敏感生态功能区</w:t>
            </w:r>
            <w:r>
              <w:rPr>
                <w:rFonts w:hint="default" w:ascii="Times New Roman" w:hAnsi="Times New Roman" w:eastAsia="宋体" w:cs="Times New Roman"/>
                <w:color w:val="auto"/>
                <w:sz w:val="24"/>
                <w:szCs w:val="24"/>
                <w:highlight w:val="none"/>
              </w:rPr>
              <w:t>。该功能区主要的特征，见表</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14:paraId="6A8FFC8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bCs/>
                <w:color w:val="auto"/>
                <w:kern w:val="13"/>
                <w:sz w:val="24"/>
                <w:highlight w:val="none"/>
              </w:rPr>
            </w:pPr>
            <w:r>
              <w:rPr>
                <w:rFonts w:hint="default" w:ascii="Times New Roman" w:hAnsi="Times New Roman" w:eastAsia="宋体" w:cs="Times New Roman"/>
                <w:b/>
                <w:bCs/>
                <w:color w:val="auto"/>
                <w:kern w:val="13"/>
                <w:sz w:val="24"/>
                <w:highlight w:val="none"/>
              </w:rPr>
              <w:t>表</w:t>
            </w:r>
            <w:r>
              <w:rPr>
                <w:rFonts w:hint="default" w:ascii="Times New Roman" w:hAnsi="Times New Roman" w:eastAsia="宋体" w:cs="Times New Roman"/>
                <w:b/>
                <w:bCs/>
                <w:color w:val="auto"/>
                <w:kern w:val="13"/>
                <w:sz w:val="24"/>
                <w:highlight w:val="none"/>
                <w:lang w:val="en-US" w:eastAsia="zh-CN"/>
              </w:rPr>
              <w:t>3-</w:t>
            </w:r>
            <w:r>
              <w:rPr>
                <w:rFonts w:hint="eastAsia" w:ascii="Times New Roman" w:hAnsi="Times New Roman" w:eastAsia="宋体" w:cs="Times New Roman"/>
                <w:b/>
                <w:bCs/>
                <w:color w:val="auto"/>
                <w:kern w:val="13"/>
                <w:sz w:val="24"/>
                <w:highlight w:val="none"/>
                <w:lang w:val="en-US" w:eastAsia="zh-CN"/>
              </w:rPr>
              <w:t>8</w:t>
            </w:r>
            <w:r>
              <w:rPr>
                <w:rFonts w:hint="default" w:ascii="Times New Roman" w:hAnsi="Times New Roman" w:eastAsia="宋体" w:cs="Times New Roman"/>
                <w:b/>
                <w:bCs/>
                <w:color w:val="auto"/>
                <w:kern w:val="13"/>
                <w:sz w:val="24"/>
                <w:highlight w:val="none"/>
              </w:rPr>
              <w:t xml:space="preserve">     </w:t>
            </w:r>
            <w:r>
              <w:rPr>
                <w:rFonts w:hint="default" w:ascii="Times New Roman" w:hAnsi="Times New Roman" w:eastAsia="宋体" w:cs="Times New Roman"/>
                <w:b/>
                <w:bCs/>
                <w:color w:val="auto"/>
                <w:kern w:val="13"/>
                <w:sz w:val="24"/>
                <w:highlight w:val="none"/>
                <w:lang w:val="en-US" w:eastAsia="zh-CN"/>
              </w:rPr>
              <w:t xml:space="preserve">          </w:t>
            </w:r>
            <w:r>
              <w:rPr>
                <w:rFonts w:hint="default" w:ascii="Times New Roman" w:hAnsi="Times New Roman" w:eastAsia="宋体" w:cs="Times New Roman"/>
                <w:b/>
                <w:bCs/>
                <w:color w:val="auto"/>
                <w:kern w:val="13"/>
                <w:sz w:val="24"/>
                <w:highlight w:val="none"/>
              </w:rPr>
              <w:t>生态功能区主要特征</w:t>
            </w:r>
          </w:p>
          <w:tbl>
            <w:tblPr>
              <w:tblStyle w:val="28"/>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29"/>
              <w:gridCol w:w="6421"/>
            </w:tblGrid>
            <w:tr w14:paraId="0A7253AB">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39E7A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生态区</w:t>
                  </w:r>
                </w:p>
              </w:tc>
              <w:tc>
                <w:tcPr>
                  <w:tcW w:w="3844" w:type="pct"/>
                  <w:tcBorders>
                    <w:tl2br w:val="nil"/>
                    <w:tr2bl w:val="nil"/>
                  </w:tcBorders>
                  <w:noWrap w:val="0"/>
                  <w:vAlign w:val="center"/>
                </w:tcPr>
                <w:p w14:paraId="00250F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Ⅲ兵团天山山地干旱草原、针叶林生态区</w:t>
                  </w:r>
                </w:p>
              </w:tc>
            </w:tr>
            <w:tr w14:paraId="29036713">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3B8D5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生态亚区</w:t>
                  </w:r>
                </w:p>
              </w:tc>
              <w:tc>
                <w:tcPr>
                  <w:tcW w:w="3844" w:type="pct"/>
                  <w:tcBorders>
                    <w:tl2br w:val="nil"/>
                    <w:tr2bl w:val="nil"/>
                  </w:tcBorders>
                  <w:noWrap w:val="0"/>
                  <w:vAlign w:val="center"/>
                </w:tcPr>
                <w:p w14:paraId="2C9808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Ⅲ2四师西部天山草原、针叶林水源涵养及伊犁河谷地绿洲生态亚区</w:t>
                  </w:r>
                </w:p>
              </w:tc>
            </w:tr>
            <w:tr w14:paraId="6A089FDC">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45742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lang w:val="en-US" w:eastAsia="zh-CN"/>
                    </w:rPr>
                  </w:pPr>
                  <w:r>
                    <w:rPr>
                      <w:rFonts w:hint="default" w:ascii="Times New Roman" w:hAnsi="Times New Roman" w:eastAsia="宋体" w:cs="Times New Roman"/>
                      <w:b w:val="0"/>
                      <w:i w:val="0"/>
                      <w:snapToGrid/>
                      <w:color w:val="auto"/>
                      <w:sz w:val="21"/>
                      <w:szCs w:val="21"/>
                      <w:highlight w:val="none"/>
                    </w:rPr>
                    <w:t>生态功能区</w:t>
                  </w:r>
                </w:p>
              </w:tc>
              <w:tc>
                <w:tcPr>
                  <w:tcW w:w="3844" w:type="pct"/>
                  <w:tcBorders>
                    <w:tl2br w:val="nil"/>
                    <w:tr2bl w:val="nil"/>
                  </w:tcBorders>
                  <w:noWrap w:val="0"/>
                  <w:vAlign w:val="center"/>
                </w:tcPr>
                <w:p w14:paraId="5304B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lang w:val="en-US" w:eastAsia="zh-CN"/>
                    </w:rPr>
                  </w:pPr>
                  <w:r>
                    <w:rPr>
                      <w:rFonts w:hint="default" w:ascii="Times New Roman" w:hAnsi="Times New Roman" w:eastAsia="宋体" w:cs="Times New Roman"/>
                      <w:b w:val="0"/>
                      <w:i w:val="0"/>
                      <w:snapToGrid/>
                      <w:color w:val="auto"/>
                      <w:sz w:val="21"/>
                      <w:szCs w:val="21"/>
                      <w:highlight w:val="none"/>
                    </w:rPr>
                    <w:t>1</w:t>
                  </w:r>
                  <w:r>
                    <w:rPr>
                      <w:rFonts w:hint="eastAsia" w:ascii="Times New Roman" w:hAnsi="Times New Roman" w:eastAsia="宋体" w:cs="Times New Roman"/>
                      <w:b w:val="0"/>
                      <w:i w:val="0"/>
                      <w:snapToGrid/>
                      <w:color w:val="auto"/>
                      <w:sz w:val="21"/>
                      <w:szCs w:val="21"/>
                      <w:highlight w:val="none"/>
                      <w:lang w:val="en-US" w:eastAsia="zh-CN"/>
                    </w:rPr>
                    <w:t>9</w:t>
                  </w:r>
                  <w:r>
                    <w:rPr>
                      <w:rFonts w:hint="default" w:ascii="Times New Roman" w:hAnsi="Times New Roman" w:eastAsia="宋体" w:cs="Times New Roman"/>
                      <w:b w:val="0"/>
                      <w:i w:val="0"/>
                      <w:snapToGrid/>
                      <w:color w:val="auto"/>
                      <w:sz w:val="21"/>
                      <w:szCs w:val="21"/>
                      <w:highlight w:val="none"/>
                    </w:rPr>
                    <w:t>．</w:t>
                  </w:r>
                  <w:r>
                    <w:rPr>
                      <w:rFonts w:hint="eastAsia" w:ascii="Times New Roman" w:hAnsi="Times New Roman" w:eastAsia="宋体" w:cs="Times New Roman"/>
                      <w:b w:val="0"/>
                      <w:i w:val="0"/>
                      <w:snapToGrid/>
                      <w:color w:val="auto"/>
                      <w:sz w:val="21"/>
                      <w:szCs w:val="21"/>
                      <w:highlight w:val="none"/>
                      <w:lang w:val="en-US" w:eastAsia="zh-CN"/>
                    </w:rPr>
                    <w:t>四师伊犁河谷平原绿洲农业、水土流失敏感生态功能区</w:t>
                  </w:r>
                </w:p>
              </w:tc>
            </w:tr>
            <w:tr w14:paraId="47213A7C">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06C2B4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主要生态服务功能</w:t>
                  </w:r>
                </w:p>
              </w:tc>
              <w:tc>
                <w:tcPr>
                  <w:tcW w:w="3844" w:type="pct"/>
                  <w:tcBorders>
                    <w:tl2br w:val="nil"/>
                    <w:tr2bl w:val="nil"/>
                  </w:tcBorders>
                  <w:noWrap w:val="0"/>
                  <w:vAlign w:val="center"/>
                </w:tcPr>
                <w:p w14:paraId="02A12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rPr>
                  </w:pPr>
                  <w:r>
                    <w:rPr>
                      <w:rFonts w:hint="default" w:ascii="Times New Roman" w:hAnsi="Times New Roman" w:eastAsia="宋体" w:cs="Times New Roman"/>
                      <w:b w:val="0"/>
                      <w:i w:val="0"/>
                      <w:snapToGrid/>
                      <w:color w:val="auto"/>
                      <w:sz w:val="21"/>
                      <w:szCs w:val="21"/>
                      <w:highlight w:val="none"/>
                    </w:rPr>
                    <w:t>农牧产品生产、土壤保持</w:t>
                  </w:r>
                </w:p>
              </w:tc>
            </w:tr>
            <w:tr w14:paraId="34317DDD">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27D47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主要生态环境问题</w:t>
                  </w:r>
                </w:p>
              </w:tc>
              <w:tc>
                <w:tcPr>
                  <w:tcW w:w="3844" w:type="pct"/>
                  <w:tcBorders>
                    <w:tl2br w:val="nil"/>
                    <w:tr2bl w:val="nil"/>
                  </w:tcBorders>
                  <w:noWrap w:val="0"/>
                  <w:vAlign w:val="center"/>
                </w:tcPr>
                <w:p w14:paraId="4D65A7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i w:val="0"/>
                      <w:snapToGrid/>
                      <w:color w:val="auto"/>
                      <w:sz w:val="21"/>
                      <w:szCs w:val="21"/>
                      <w:highlight w:val="none"/>
                      <w:lang w:val="en-US" w:eastAsia="zh-CN"/>
                    </w:rPr>
                  </w:pPr>
                  <w:r>
                    <w:rPr>
                      <w:rFonts w:hint="default" w:ascii="Times New Roman" w:hAnsi="Times New Roman" w:eastAsia="宋体" w:cs="Times New Roman"/>
                      <w:b w:val="0"/>
                      <w:i w:val="0"/>
                      <w:snapToGrid/>
                      <w:color w:val="auto"/>
                      <w:sz w:val="21"/>
                      <w:szCs w:val="21"/>
                      <w:highlight w:val="none"/>
                    </w:rPr>
                    <w:t>土壤盐渍化、沼泽化，土壤水蚀，毁草开</w:t>
                  </w:r>
                  <w:r>
                    <w:rPr>
                      <w:rFonts w:hint="eastAsia" w:ascii="Times New Roman" w:hAnsi="Times New Roman" w:eastAsia="宋体" w:cs="Times New Roman"/>
                      <w:b w:val="0"/>
                      <w:i w:val="0"/>
                      <w:snapToGrid/>
                      <w:color w:val="auto"/>
                      <w:sz w:val="21"/>
                      <w:szCs w:val="21"/>
                      <w:highlight w:val="none"/>
                      <w:lang w:val="en-US" w:eastAsia="zh-CN"/>
                    </w:rPr>
                    <w:t>荒</w:t>
                  </w:r>
                </w:p>
              </w:tc>
            </w:tr>
            <w:tr w14:paraId="178BAD96">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1CD95C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主要保护目标</w:t>
                  </w:r>
                </w:p>
              </w:tc>
              <w:tc>
                <w:tcPr>
                  <w:tcW w:w="3844" w:type="pct"/>
                  <w:tcBorders>
                    <w:tl2br w:val="nil"/>
                    <w:tr2bl w:val="nil"/>
                  </w:tcBorders>
                  <w:noWrap w:val="0"/>
                  <w:vAlign w:val="center"/>
                </w:tcPr>
                <w:p w14:paraId="7538D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lang w:val="en-US" w:eastAsia="zh-CN"/>
                    </w:rPr>
                  </w:pPr>
                  <w:r>
                    <w:rPr>
                      <w:rFonts w:hint="eastAsia" w:ascii="Times New Roman" w:hAnsi="Times New Roman" w:eastAsia="宋体" w:cs="Times New Roman"/>
                      <w:b w:val="0"/>
                      <w:i w:val="0"/>
                      <w:snapToGrid/>
                      <w:color w:val="auto"/>
                      <w:sz w:val="21"/>
                      <w:szCs w:val="21"/>
                      <w:highlight w:val="none"/>
                      <w:lang w:val="en-US" w:eastAsia="zh-CN"/>
                    </w:rPr>
                    <w:t>保护基本农田</w:t>
                  </w:r>
                </w:p>
              </w:tc>
            </w:tr>
            <w:tr w14:paraId="2B146DDE">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328E9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主要保护措施</w:t>
                  </w:r>
                </w:p>
              </w:tc>
              <w:tc>
                <w:tcPr>
                  <w:tcW w:w="3844" w:type="pct"/>
                  <w:tcBorders>
                    <w:tl2br w:val="nil"/>
                    <w:tr2bl w:val="nil"/>
                  </w:tcBorders>
                  <w:noWrap w:val="0"/>
                  <w:vAlign w:val="center"/>
                </w:tcPr>
                <w:p w14:paraId="35CC3B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lang w:val="en-US" w:eastAsia="zh-CN"/>
                    </w:rPr>
                  </w:pPr>
                  <w:r>
                    <w:rPr>
                      <w:rFonts w:hint="default" w:ascii="Times New Roman" w:hAnsi="Times New Roman" w:eastAsia="宋体" w:cs="Times New Roman"/>
                      <w:b w:val="0"/>
                      <w:i w:val="0"/>
                      <w:snapToGrid/>
                      <w:color w:val="auto"/>
                      <w:sz w:val="21"/>
                      <w:szCs w:val="21"/>
                      <w:highlight w:val="none"/>
                    </w:rPr>
                    <w:t>合理灌溉、健全排水系统，加强防护林体系建设，退耕</w:t>
                  </w:r>
                  <w:r>
                    <w:rPr>
                      <w:rFonts w:hint="eastAsia" w:ascii="Times New Roman" w:hAnsi="Times New Roman" w:eastAsia="宋体" w:cs="Times New Roman"/>
                      <w:b w:val="0"/>
                      <w:i w:val="0"/>
                      <w:snapToGrid/>
                      <w:color w:val="auto"/>
                      <w:sz w:val="21"/>
                      <w:szCs w:val="21"/>
                      <w:highlight w:val="none"/>
                      <w:lang w:val="en-US" w:eastAsia="zh-CN"/>
                    </w:rPr>
                    <w:t>还林还草</w:t>
                  </w:r>
                </w:p>
              </w:tc>
            </w:tr>
            <w:tr w14:paraId="6B2D33A9">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55" w:type="pct"/>
                  <w:tcBorders>
                    <w:tl2br w:val="nil"/>
                    <w:tr2bl w:val="nil"/>
                  </w:tcBorders>
                  <w:noWrap w:val="0"/>
                  <w:vAlign w:val="center"/>
                </w:tcPr>
                <w:p w14:paraId="587AB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rPr>
                    <w:t>发展方向</w:t>
                  </w:r>
                </w:p>
              </w:tc>
              <w:tc>
                <w:tcPr>
                  <w:tcW w:w="3844" w:type="pct"/>
                  <w:tcBorders>
                    <w:tl2br w:val="nil"/>
                    <w:tr2bl w:val="nil"/>
                  </w:tcBorders>
                  <w:noWrap w:val="0"/>
                  <w:vAlign w:val="center"/>
                </w:tcPr>
                <w:p w14:paraId="3D54B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i w:val="0"/>
                      <w:snapToGrid/>
                      <w:color w:val="auto"/>
                      <w:sz w:val="21"/>
                      <w:szCs w:val="21"/>
                      <w:highlight w:val="none"/>
                    </w:rPr>
                  </w:pPr>
                  <w:r>
                    <w:rPr>
                      <w:rFonts w:hint="default" w:ascii="Times New Roman" w:hAnsi="Times New Roman" w:eastAsia="宋体" w:cs="Times New Roman"/>
                      <w:b w:val="0"/>
                      <w:i w:val="0"/>
                      <w:snapToGrid/>
                      <w:color w:val="auto"/>
                      <w:sz w:val="21"/>
                      <w:szCs w:val="21"/>
                      <w:highlight w:val="none"/>
                    </w:rPr>
                    <w:t>利用水土资源优势，建成粮、油、果和园艺基地，做强酿酒和农产品加工产业。</w:t>
                  </w:r>
                </w:p>
              </w:tc>
            </w:tr>
          </w:tbl>
          <w:p w14:paraId="0DCF37ED">
            <w:pPr>
              <w:pStyle w:val="36"/>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ascii="宋体" w:hAnsi="宋体" w:eastAsia="宋体" w:cs="宋体"/>
                <w:sz w:val="24"/>
                <w:szCs w:val="24"/>
              </w:rPr>
            </w:pPr>
            <w:r>
              <w:rPr>
                <w:rFonts w:ascii="宋体" w:hAnsi="宋体" w:eastAsia="宋体" w:cs="宋体"/>
                <w:color w:val="auto"/>
                <w:sz w:val="24"/>
                <w:szCs w:val="24"/>
              </w:rPr>
              <w:t>本项目</w:t>
            </w:r>
            <w:r>
              <w:rPr>
                <w:rFonts w:hint="eastAsia" w:ascii="宋体" w:hAnsi="宋体" w:cs="宋体"/>
                <w:color w:val="auto"/>
                <w:sz w:val="24"/>
                <w:szCs w:val="24"/>
                <w:lang w:val="en-US" w:eastAsia="zh-CN"/>
              </w:rPr>
              <w:t>位于平原区，</w:t>
            </w:r>
            <w:r>
              <w:rPr>
                <w:rFonts w:ascii="宋体" w:hAnsi="宋体" w:eastAsia="宋体" w:cs="宋体"/>
                <w:color w:val="auto"/>
                <w:sz w:val="24"/>
                <w:szCs w:val="24"/>
              </w:rPr>
              <w:t>区</w:t>
            </w:r>
            <w:r>
              <w:rPr>
                <w:rFonts w:ascii="宋体" w:hAnsi="宋体" w:eastAsia="宋体" w:cs="宋体"/>
                <w:sz w:val="24"/>
                <w:szCs w:val="24"/>
              </w:rPr>
              <w:t>域内无野生动物，未发现国家或省级重点保护或珍稀濒危的植物无珍稀野生动物，无需进行生态现状调查。</w:t>
            </w:r>
          </w:p>
          <w:p w14:paraId="7AE5C9C2">
            <w:pPr>
              <w:pStyle w:val="36"/>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highlight w:val="none"/>
                <w:lang w:val="en-US"/>
              </w:rPr>
            </w:pPr>
            <w:r>
              <w:rPr>
                <w:rFonts w:ascii="宋体" w:hAnsi="宋体" w:eastAsia="宋体" w:cs="宋体"/>
                <w:sz w:val="24"/>
                <w:szCs w:val="24"/>
              </w:rPr>
              <w:t>综上所述，项目选址周边环境空气质量、地表水环境质量、声环境质量以及生态环境均符合功能区划的要求，区域环境质量整体良好。</w:t>
            </w:r>
          </w:p>
        </w:tc>
      </w:tr>
      <w:tr w14:paraId="0BB153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66" w:hRule="atLeast"/>
          <w:jc w:val="center"/>
        </w:trPr>
        <w:tc>
          <w:tcPr>
            <w:tcW w:w="720" w:type="dxa"/>
            <w:tcBorders>
              <w:tl2br w:val="nil"/>
              <w:tr2bl w:val="nil"/>
            </w:tcBorders>
            <w:noWrap w:val="0"/>
            <w:vAlign w:val="center"/>
          </w:tcPr>
          <w:p w14:paraId="265B9754">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2B2EB18A">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14:paraId="2B31470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目标</w:t>
            </w:r>
          </w:p>
        </w:tc>
        <w:tc>
          <w:tcPr>
            <w:tcW w:w="8569" w:type="dxa"/>
            <w:tcBorders>
              <w:tl2br w:val="nil"/>
              <w:tr2bl w:val="nil"/>
            </w:tcBorders>
            <w:noWrap w:val="0"/>
            <w:vAlign w:val="top"/>
          </w:tcPr>
          <w:p w14:paraId="793DF2EE">
            <w:pPr>
              <w:pStyle w:val="36"/>
              <w:numPr>
                <w:ilvl w:val="0"/>
                <w:numId w:val="2"/>
              </w:numPr>
              <w:spacing w:line="360" w:lineRule="auto"/>
              <w:ind w:firstLine="480" w:firstLineChars="200"/>
              <w:jc w:val="both"/>
              <w:rPr>
                <w:rFonts w:hint="eastAsia"/>
                <w:color w:val="auto"/>
                <w:highlight w:val="none"/>
                <w:lang w:val="en-US" w:eastAsia="zh-CN"/>
              </w:rPr>
            </w:pPr>
            <w:r>
              <w:rPr>
                <w:rFonts w:hint="eastAsia"/>
                <w:color w:val="auto"/>
                <w:highlight w:val="none"/>
                <w:lang w:val="en-US" w:eastAsia="zh-CN"/>
              </w:rPr>
              <w:t>大气环境：项目区厂界外500m范围内无自然保护区、风景名胜区、文化区、居民点等保护目标。</w:t>
            </w:r>
          </w:p>
          <w:p w14:paraId="40964952">
            <w:pPr>
              <w:pStyle w:val="36"/>
              <w:numPr>
                <w:ilvl w:val="0"/>
                <w:numId w:val="0"/>
              </w:numPr>
              <w:spacing w:line="360" w:lineRule="auto"/>
              <w:ind w:firstLine="480" w:firstLineChars="200"/>
              <w:jc w:val="both"/>
              <w:rPr>
                <w:rFonts w:hint="default"/>
                <w:color w:val="auto"/>
                <w:highlight w:val="none"/>
                <w:lang w:val="en-US" w:eastAsia="zh-CN"/>
              </w:rPr>
            </w:pPr>
            <w:r>
              <w:rPr>
                <w:rFonts w:hint="eastAsia"/>
                <w:color w:val="auto"/>
                <w:highlight w:val="none"/>
                <w:lang w:val="en-US" w:eastAsia="zh-CN"/>
              </w:rPr>
              <w:t>2、声环境：本项目厂界外50m范围内不存在声环境保护目标。</w:t>
            </w:r>
          </w:p>
          <w:p w14:paraId="2587F5B9">
            <w:pPr>
              <w:pStyle w:val="36"/>
              <w:spacing w:line="360" w:lineRule="auto"/>
              <w:jc w:val="both"/>
              <w:rPr>
                <w:rFonts w:hint="eastAsia"/>
                <w:color w:val="auto"/>
                <w:highlight w:val="none"/>
                <w:lang w:val="en-US" w:eastAsia="zh-CN"/>
              </w:rPr>
            </w:pPr>
            <w:r>
              <w:rPr>
                <w:rFonts w:hint="eastAsia"/>
                <w:color w:val="auto"/>
                <w:highlight w:val="none"/>
                <w:lang w:val="en-US" w:eastAsia="zh-CN"/>
              </w:rPr>
              <w:t>3、地下水环境：本项目厂界外500m范围内无地下集中式饮用水水源和热水。矿泉水、温泉等特殊地下水资源。</w:t>
            </w:r>
          </w:p>
          <w:p w14:paraId="5400B98D">
            <w:pPr>
              <w:pStyle w:val="85"/>
              <w:topLinePunct/>
              <w:autoSpaceDE w:val="0"/>
              <w:autoSpaceDN w:val="0"/>
              <w:spacing w:line="360" w:lineRule="auto"/>
              <w:contextualSpacing/>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4、生态环境：保证不因本项目的建设而影响该区域土壤环境质量，保护项目区野生动物栖息不受项目运营影响，做好项目区周边环境的绿化，使其对生态环境的影响降到最小，周边环境保护目标分布见下表。</w:t>
            </w:r>
          </w:p>
          <w:p w14:paraId="22022485">
            <w:pPr>
              <w:rPr>
                <w:b/>
                <w:bCs/>
                <w:color w:val="000000"/>
                <w:szCs w:val="21"/>
              </w:rPr>
            </w:pPr>
            <w:r>
              <w:rPr>
                <w:b/>
                <w:bCs/>
                <w:color w:val="000000"/>
                <w:szCs w:val="21"/>
              </w:rPr>
              <w:t>表3-</w:t>
            </w:r>
            <w:r>
              <w:rPr>
                <w:rFonts w:hint="eastAsia"/>
                <w:b/>
                <w:bCs/>
                <w:color w:val="000000"/>
                <w:szCs w:val="21"/>
                <w:lang w:val="en-US" w:eastAsia="zh-CN"/>
              </w:rPr>
              <w:t>9</w:t>
            </w:r>
            <w:r>
              <w:rPr>
                <w:b/>
                <w:bCs/>
                <w:color w:val="000000"/>
                <w:szCs w:val="21"/>
              </w:rPr>
              <w:t xml:space="preserve">        </w:t>
            </w:r>
            <w:r>
              <w:rPr>
                <w:rFonts w:hint="eastAsia"/>
                <w:b/>
                <w:bCs/>
                <w:color w:val="000000"/>
                <w:szCs w:val="21"/>
                <w:lang w:val="en-US" w:eastAsia="zh-CN"/>
              </w:rPr>
              <w:t xml:space="preserve">   </w:t>
            </w:r>
            <w:r>
              <w:rPr>
                <w:b/>
                <w:bCs/>
                <w:color w:val="000000"/>
                <w:szCs w:val="21"/>
              </w:rPr>
              <w:t xml:space="preserve">       项目生态环境保护目标一览表</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321"/>
              <w:gridCol w:w="1250"/>
              <w:gridCol w:w="2191"/>
              <w:gridCol w:w="907"/>
              <w:gridCol w:w="1760"/>
            </w:tblGrid>
            <w:tr w14:paraId="63D47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1" w:type="dxa"/>
                  <w:noWrap w:val="0"/>
                  <w:vAlign w:val="center"/>
                </w:tcPr>
                <w:p w14:paraId="0AC7900C">
                  <w:pPr>
                    <w:widowControl/>
                    <w:jc w:val="center"/>
                    <w:rPr>
                      <w:color w:val="000000"/>
                      <w:kern w:val="0"/>
                      <w:szCs w:val="21"/>
                    </w:rPr>
                  </w:pPr>
                  <w:r>
                    <w:rPr>
                      <w:color w:val="000000"/>
                      <w:kern w:val="0"/>
                      <w:szCs w:val="21"/>
                    </w:rPr>
                    <w:t>环境要素</w:t>
                  </w:r>
                </w:p>
              </w:tc>
              <w:tc>
                <w:tcPr>
                  <w:tcW w:w="1321" w:type="dxa"/>
                  <w:noWrap w:val="0"/>
                  <w:vAlign w:val="center"/>
                </w:tcPr>
                <w:p w14:paraId="64526777">
                  <w:pPr>
                    <w:widowControl/>
                    <w:jc w:val="center"/>
                    <w:rPr>
                      <w:color w:val="000000"/>
                      <w:kern w:val="0"/>
                      <w:szCs w:val="21"/>
                    </w:rPr>
                  </w:pPr>
                  <w:r>
                    <w:rPr>
                      <w:color w:val="000000"/>
                      <w:kern w:val="0"/>
                      <w:szCs w:val="21"/>
                    </w:rPr>
                    <w:t>保护</w:t>
                  </w:r>
                  <w:r>
                    <w:rPr>
                      <w:rFonts w:hint="eastAsia"/>
                      <w:color w:val="000000"/>
                      <w:kern w:val="0"/>
                      <w:szCs w:val="21"/>
                    </w:rPr>
                    <w:t>目标</w:t>
                  </w:r>
                </w:p>
              </w:tc>
              <w:tc>
                <w:tcPr>
                  <w:tcW w:w="1250" w:type="dxa"/>
                  <w:noWrap w:val="0"/>
                  <w:vAlign w:val="center"/>
                </w:tcPr>
                <w:p w14:paraId="060749E1">
                  <w:pPr>
                    <w:widowControl/>
                    <w:jc w:val="center"/>
                    <w:rPr>
                      <w:color w:val="000000"/>
                      <w:kern w:val="0"/>
                      <w:szCs w:val="21"/>
                    </w:rPr>
                  </w:pPr>
                  <w:r>
                    <w:rPr>
                      <w:color w:val="000000"/>
                      <w:kern w:val="0"/>
                      <w:szCs w:val="21"/>
                    </w:rPr>
                    <w:t>保护</w:t>
                  </w:r>
                  <w:r>
                    <w:rPr>
                      <w:rFonts w:hint="eastAsia"/>
                      <w:color w:val="000000"/>
                      <w:kern w:val="0"/>
                      <w:szCs w:val="21"/>
                    </w:rPr>
                    <w:t>对象</w:t>
                  </w:r>
                </w:p>
              </w:tc>
              <w:tc>
                <w:tcPr>
                  <w:tcW w:w="2191" w:type="dxa"/>
                  <w:noWrap w:val="0"/>
                  <w:vAlign w:val="center"/>
                </w:tcPr>
                <w:p w14:paraId="5CFCEBD9">
                  <w:pPr>
                    <w:widowControl/>
                    <w:jc w:val="center"/>
                    <w:rPr>
                      <w:color w:val="000000"/>
                      <w:kern w:val="0"/>
                      <w:szCs w:val="21"/>
                    </w:rPr>
                  </w:pPr>
                  <w:r>
                    <w:rPr>
                      <w:color w:val="000000"/>
                      <w:kern w:val="0"/>
                      <w:szCs w:val="21"/>
                    </w:rPr>
                    <w:t>环境</w:t>
                  </w:r>
                  <w:r>
                    <w:rPr>
                      <w:rFonts w:hint="eastAsia"/>
                      <w:color w:val="000000"/>
                      <w:kern w:val="0"/>
                      <w:szCs w:val="21"/>
                    </w:rPr>
                    <w:t>保护要求</w:t>
                  </w:r>
                </w:p>
              </w:tc>
              <w:tc>
                <w:tcPr>
                  <w:tcW w:w="907" w:type="dxa"/>
                  <w:noWrap w:val="0"/>
                  <w:vAlign w:val="center"/>
                </w:tcPr>
                <w:p w14:paraId="65DC0534">
                  <w:pPr>
                    <w:widowControl/>
                    <w:jc w:val="center"/>
                    <w:rPr>
                      <w:color w:val="000000"/>
                      <w:kern w:val="0"/>
                      <w:szCs w:val="21"/>
                    </w:rPr>
                  </w:pPr>
                  <w:r>
                    <w:rPr>
                      <w:color w:val="000000"/>
                      <w:kern w:val="0"/>
                      <w:szCs w:val="21"/>
                    </w:rPr>
                    <w:t>方位</w:t>
                  </w:r>
                </w:p>
              </w:tc>
              <w:tc>
                <w:tcPr>
                  <w:tcW w:w="1760" w:type="dxa"/>
                  <w:noWrap w:val="0"/>
                  <w:vAlign w:val="center"/>
                </w:tcPr>
                <w:p w14:paraId="5154B837">
                  <w:pPr>
                    <w:widowControl/>
                    <w:jc w:val="center"/>
                    <w:rPr>
                      <w:color w:val="000000"/>
                      <w:kern w:val="0"/>
                      <w:szCs w:val="21"/>
                    </w:rPr>
                  </w:pPr>
                  <w:r>
                    <w:rPr>
                      <w:color w:val="000000"/>
                      <w:kern w:val="0"/>
                      <w:szCs w:val="21"/>
                    </w:rPr>
                    <w:t>相对距离（m）</w:t>
                  </w:r>
                </w:p>
              </w:tc>
            </w:tr>
            <w:tr w14:paraId="318886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1" w:type="dxa"/>
                  <w:noWrap w:val="0"/>
                  <w:vAlign w:val="center"/>
                </w:tcPr>
                <w:p w14:paraId="1FFF37D9">
                  <w:pPr>
                    <w:widowControl/>
                    <w:jc w:val="center"/>
                    <w:rPr>
                      <w:color w:val="000000"/>
                      <w:kern w:val="0"/>
                      <w:szCs w:val="21"/>
                    </w:rPr>
                  </w:pPr>
                  <w:r>
                    <w:rPr>
                      <w:color w:val="000000"/>
                      <w:kern w:val="0"/>
                      <w:szCs w:val="21"/>
                    </w:rPr>
                    <w:t>地下水环境</w:t>
                  </w:r>
                </w:p>
              </w:tc>
              <w:tc>
                <w:tcPr>
                  <w:tcW w:w="1321" w:type="dxa"/>
                  <w:noWrap w:val="0"/>
                  <w:vAlign w:val="center"/>
                </w:tcPr>
                <w:p w14:paraId="4CF9D477">
                  <w:pPr>
                    <w:widowControl/>
                    <w:jc w:val="center"/>
                    <w:rPr>
                      <w:color w:val="000000"/>
                      <w:kern w:val="0"/>
                      <w:szCs w:val="21"/>
                    </w:rPr>
                  </w:pPr>
                  <w:r>
                    <w:rPr>
                      <w:rFonts w:hint="eastAsia"/>
                      <w:color w:val="000000"/>
                      <w:kern w:val="0"/>
                      <w:szCs w:val="21"/>
                    </w:rPr>
                    <w:t>/</w:t>
                  </w:r>
                </w:p>
              </w:tc>
              <w:tc>
                <w:tcPr>
                  <w:tcW w:w="1250" w:type="dxa"/>
                  <w:noWrap w:val="0"/>
                  <w:vAlign w:val="center"/>
                </w:tcPr>
                <w:p w14:paraId="0887DB8F">
                  <w:pPr>
                    <w:widowControl/>
                    <w:jc w:val="center"/>
                    <w:rPr>
                      <w:color w:val="000000"/>
                      <w:kern w:val="0"/>
                      <w:szCs w:val="21"/>
                    </w:rPr>
                  </w:pPr>
                  <w:r>
                    <w:rPr>
                      <w:rFonts w:hint="eastAsia"/>
                      <w:color w:val="000000"/>
                      <w:kern w:val="0"/>
                      <w:szCs w:val="21"/>
                    </w:rPr>
                    <w:t>项目区及周围地下水</w:t>
                  </w:r>
                </w:p>
              </w:tc>
              <w:tc>
                <w:tcPr>
                  <w:tcW w:w="2191" w:type="dxa"/>
                  <w:noWrap w:val="0"/>
                  <w:vAlign w:val="center"/>
                </w:tcPr>
                <w:p w14:paraId="15817DFE">
                  <w:pPr>
                    <w:widowControl/>
                    <w:jc w:val="center"/>
                    <w:rPr>
                      <w:color w:val="000000"/>
                      <w:kern w:val="0"/>
                      <w:szCs w:val="21"/>
                    </w:rPr>
                  </w:pPr>
                  <w:r>
                    <w:rPr>
                      <w:color w:val="000000"/>
                      <w:kern w:val="0"/>
                      <w:szCs w:val="21"/>
                    </w:rPr>
                    <w:t>执行《地下水质量标准》（GB/T14848-2017）Ⅲ类标准</w:t>
                  </w:r>
                </w:p>
              </w:tc>
              <w:tc>
                <w:tcPr>
                  <w:tcW w:w="907" w:type="dxa"/>
                  <w:noWrap w:val="0"/>
                  <w:vAlign w:val="center"/>
                </w:tcPr>
                <w:p w14:paraId="03FCBEB0">
                  <w:pPr>
                    <w:widowControl/>
                    <w:jc w:val="center"/>
                    <w:rPr>
                      <w:color w:val="000000"/>
                      <w:kern w:val="0"/>
                      <w:szCs w:val="21"/>
                    </w:rPr>
                  </w:pPr>
                  <w:r>
                    <w:rPr>
                      <w:color w:val="000000"/>
                      <w:kern w:val="0"/>
                      <w:szCs w:val="21"/>
                    </w:rPr>
                    <w:t>/</w:t>
                  </w:r>
                </w:p>
              </w:tc>
              <w:tc>
                <w:tcPr>
                  <w:tcW w:w="1760" w:type="dxa"/>
                  <w:noWrap w:val="0"/>
                  <w:vAlign w:val="center"/>
                </w:tcPr>
                <w:p w14:paraId="6287240F">
                  <w:pPr>
                    <w:widowControl/>
                    <w:jc w:val="center"/>
                    <w:rPr>
                      <w:color w:val="000000"/>
                      <w:kern w:val="0"/>
                      <w:szCs w:val="21"/>
                    </w:rPr>
                  </w:pPr>
                  <w:r>
                    <w:rPr>
                      <w:color w:val="000000"/>
                      <w:kern w:val="0"/>
                      <w:szCs w:val="21"/>
                    </w:rPr>
                    <w:t>工程占地区域及周边500米范围内的地下水</w:t>
                  </w:r>
                </w:p>
              </w:tc>
            </w:tr>
            <w:tr w14:paraId="2EB87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1" w:type="dxa"/>
                  <w:noWrap w:val="0"/>
                  <w:vAlign w:val="center"/>
                </w:tcPr>
                <w:p w14:paraId="0616BEF1">
                  <w:pPr>
                    <w:widowControl/>
                    <w:jc w:val="center"/>
                    <w:rPr>
                      <w:color w:val="000000"/>
                      <w:kern w:val="0"/>
                      <w:szCs w:val="21"/>
                    </w:rPr>
                  </w:pPr>
                  <w:r>
                    <w:rPr>
                      <w:color w:val="000000"/>
                      <w:kern w:val="0"/>
                      <w:szCs w:val="21"/>
                    </w:rPr>
                    <w:t>生态环境</w:t>
                  </w:r>
                </w:p>
              </w:tc>
              <w:tc>
                <w:tcPr>
                  <w:tcW w:w="7429" w:type="dxa"/>
                  <w:gridSpan w:val="5"/>
                  <w:noWrap w:val="0"/>
                  <w:vAlign w:val="center"/>
                </w:tcPr>
                <w:p w14:paraId="090E798E">
                  <w:pPr>
                    <w:widowControl/>
                    <w:jc w:val="center"/>
                    <w:rPr>
                      <w:color w:val="000000"/>
                      <w:kern w:val="0"/>
                      <w:szCs w:val="21"/>
                    </w:rPr>
                  </w:pPr>
                  <w:r>
                    <w:rPr>
                      <w:color w:val="000000"/>
                      <w:kern w:val="0"/>
                      <w:szCs w:val="21"/>
                    </w:rPr>
                    <w:t>项目区及临时施工场地范围并外延200m范围内动植物，不破坏生态完整性</w:t>
                  </w:r>
                </w:p>
              </w:tc>
            </w:tr>
          </w:tbl>
          <w:p w14:paraId="4A63679E">
            <w:pPr>
              <w:pStyle w:val="85"/>
              <w:topLinePunct/>
              <w:autoSpaceDE w:val="0"/>
              <w:autoSpaceDN w:val="0"/>
              <w:spacing w:line="360" w:lineRule="auto"/>
              <w:contextualSpacing/>
              <w:jc w:val="both"/>
              <w:rPr>
                <w:rFonts w:hint="default" w:ascii="Times New Roman" w:hAnsi="Times New Roman" w:eastAsia="宋体" w:cs="Times New Roman"/>
                <w:color w:val="auto"/>
                <w:kern w:val="2"/>
                <w:sz w:val="24"/>
                <w:szCs w:val="24"/>
                <w:highlight w:val="none"/>
                <w:lang w:val="en-US" w:eastAsia="zh-CN" w:bidi="ar-SA"/>
              </w:rPr>
            </w:pPr>
          </w:p>
        </w:tc>
      </w:tr>
      <w:tr w14:paraId="023515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93" w:hRule="atLeast"/>
          <w:jc w:val="center"/>
        </w:trPr>
        <w:tc>
          <w:tcPr>
            <w:tcW w:w="720" w:type="dxa"/>
            <w:tcBorders>
              <w:tl2br w:val="nil"/>
              <w:tr2bl w:val="nil"/>
            </w:tcBorders>
            <w:noWrap w:val="0"/>
            <w:tcMar>
              <w:left w:w="28" w:type="dxa"/>
              <w:right w:w="28" w:type="dxa"/>
            </w:tcMar>
            <w:vAlign w:val="center"/>
          </w:tcPr>
          <w:p w14:paraId="740DDF7B">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48164FD3">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77A1692E">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62D7A259">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18E1D59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准</w:t>
            </w:r>
          </w:p>
        </w:tc>
        <w:tc>
          <w:tcPr>
            <w:tcW w:w="8569" w:type="dxa"/>
            <w:tcBorders>
              <w:tl2br w:val="nil"/>
              <w:tr2bl w:val="nil"/>
            </w:tcBorders>
            <w:noWrap w:val="0"/>
            <w:vAlign w:val="center"/>
          </w:tcPr>
          <w:p w14:paraId="316150F5">
            <w:pPr>
              <w:pStyle w:val="88"/>
              <w:spacing w:line="360" w:lineRule="auto"/>
              <w:rPr>
                <w:rFonts w:hint="default" w:eastAsia="宋体"/>
                <w:b/>
                <w:bCs/>
                <w:color w:val="auto"/>
                <w:sz w:val="24"/>
                <w:lang w:val="en-US" w:eastAsia="zh-CN"/>
              </w:rPr>
            </w:pPr>
            <w:r>
              <w:rPr>
                <w:rFonts w:hint="eastAsia"/>
                <w:b/>
                <w:bCs/>
                <w:color w:val="auto"/>
                <w:kern w:val="0"/>
                <w:sz w:val="24"/>
              </w:rPr>
              <w:t>1</w:t>
            </w:r>
            <w:r>
              <w:rPr>
                <w:b/>
                <w:bCs/>
                <w:color w:val="auto"/>
                <w:kern w:val="0"/>
                <w:sz w:val="24"/>
              </w:rPr>
              <w:t xml:space="preserve"> </w:t>
            </w:r>
            <w:r>
              <w:rPr>
                <w:rFonts w:hint="eastAsia"/>
                <w:b/>
                <w:bCs/>
                <w:color w:val="auto"/>
                <w:kern w:val="0"/>
                <w:sz w:val="24"/>
                <w:lang w:val="en-US" w:eastAsia="zh-CN"/>
              </w:rPr>
              <w:t>废气</w:t>
            </w:r>
          </w:p>
          <w:p w14:paraId="54FFD556">
            <w:pPr>
              <w:adjustRightIn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运营期颗粒物、非甲烷总烃废气排放执行《大气污染物综合排放标准》（GB16297-1996）表2中排放监控浓度限值标准机无组织排放监控浓度限值，有机废气厂区内无组织排放同时满足《挥发性有机物无组织排放控制标准》（GB37822-2019）排放限值；厂界臭气浓度满足《恶臭污染物排放标准》（GB14554-93）表1恶臭污染物厂界标准值二级标准。执行污染物排放标准见下表：</w:t>
            </w:r>
          </w:p>
          <w:p w14:paraId="684F716A">
            <w:pPr>
              <w:tabs>
                <w:tab w:val="left" w:pos="2760"/>
              </w:tabs>
              <w:autoSpaceDE w:val="0"/>
              <w:autoSpaceDN w:val="0"/>
              <w:adjustRightInd w:val="0"/>
              <w:jc w:val="center"/>
              <w:rPr>
                <w:rFonts w:hint="eastAsia"/>
                <w:b/>
                <w:bCs/>
                <w:color w:val="auto"/>
                <w:sz w:val="24"/>
                <w:lang w:val="en-US" w:eastAsia="zh-CN"/>
              </w:rPr>
            </w:pPr>
            <w:r>
              <w:rPr>
                <w:rFonts w:hint="eastAsia"/>
                <w:b/>
                <w:bCs/>
                <w:color w:val="auto"/>
                <w:sz w:val="24"/>
              </w:rPr>
              <w:t>表3-</w:t>
            </w:r>
            <w:r>
              <w:rPr>
                <w:rFonts w:hint="eastAsia"/>
                <w:b/>
                <w:bCs/>
                <w:color w:val="auto"/>
                <w:sz w:val="24"/>
                <w:lang w:val="en-US" w:eastAsia="zh-CN"/>
              </w:rPr>
              <w:t>10</w:t>
            </w:r>
            <w:r>
              <w:rPr>
                <w:rFonts w:hint="eastAsia"/>
                <w:b/>
                <w:bCs/>
                <w:color w:val="auto"/>
                <w:sz w:val="24"/>
              </w:rPr>
              <w:t xml:space="preserve">     </w:t>
            </w:r>
            <w:r>
              <w:rPr>
                <w:rFonts w:hint="eastAsia"/>
                <w:b/>
                <w:bCs/>
                <w:color w:val="auto"/>
                <w:sz w:val="24"/>
                <w:lang w:val="en-US" w:eastAsia="zh-CN"/>
              </w:rPr>
              <w:t>大气污染物综合排放标准</w:t>
            </w:r>
          </w:p>
          <w:tbl>
            <w:tblPr>
              <w:tblStyle w:val="29"/>
              <w:tblW w:w="8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886"/>
              <w:gridCol w:w="1350"/>
              <w:gridCol w:w="1200"/>
              <w:gridCol w:w="1675"/>
              <w:gridCol w:w="850"/>
            </w:tblGrid>
            <w:tr w14:paraId="7BE1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dxa"/>
                  <w:vMerge w:val="restart"/>
                  <w:vAlign w:val="center"/>
                </w:tcPr>
                <w:p w14:paraId="7FF17150">
                  <w:pPr>
                    <w:jc w:val="center"/>
                    <w:rPr>
                      <w:rFonts w:hint="default"/>
                      <w:b/>
                      <w:bCs/>
                      <w:color w:val="auto"/>
                      <w:szCs w:val="21"/>
                      <w:lang w:val="en-US" w:eastAsia="zh-CN"/>
                    </w:rPr>
                  </w:pPr>
                  <w:r>
                    <w:rPr>
                      <w:rFonts w:hint="eastAsia"/>
                      <w:b/>
                      <w:bCs/>
                      <w:color w:val="auto"/>
                      <w:szCs w:val="21"/>
                      <w:lang w:val="en-US" w:eastAsia="zh-CN"/>
                    </w:rPr>
                    <w:t>污染物名称</w:t>
                  </w:r>
                </w:p>
              </w:tc>
              <w:tc>
                <w:tcPr>
                  <w:tcW w:w="1886" w:type="dxa"/>
                  <w:vMerge w:val="restart"/>
                  <w:vAlign w:val="center"/>
                </w:tcPr>
                <w:p w14:paraId="4C08BAF1">
                  <w:pPr>
                    <w:jc w:val="center"/>
                    <w:rPr>
                      <w:rFonts w:hint="default"/>
                      <w:b/>
                      <w:bCs/>
                      <w:color w:val="auto"/>
                      <w:szCs w:val="21"/>
                      <w:lang w:val="en-US" w:eastAsia="zh-CN"/>
                    </w:rPr>
                  </w:pPr>
                  <w:r>
                    <w:rPr>
                      <w:rFonts w:hint="eastAsia"/>
                      <w:b/>
                      <w:bCs/>
                      <w:color w:val="auto"/>
                      <w:szCs w:val="21"/>
                      <w:lang w:val="en-US" w:eastAsia="zh-CN"/>
                    </w:rPr>
                    <w:t>最高允许排放浓度（mg/m</w:t>
                  </w:r>
                  <w:r>
                    <w:rPr>
                      <w:rFonts w:hint="eastAsia"/>
                      <w:b/>
                      <w:bCs/>
                      <w:color w:val="auto"/>
                      <w:szCs w:val="21"/>
                      <w:vertAlign w:val="superscript"/>
                      <w:lang w:val="en-US" w:eastAsia="zh-CN"/>
                    </w:rPr>
                    <w:t>3</w:t>
                  </w:r>
                  <w:r>
                    <w:rPr>
                      <w:rFonts w:hint="eastAsia"/>
                      <w:b/>
                      <w:bCs/>
                      <w:color w:val="auto"/>
                      <w:szCs w:val="21"/>
                      <w:lang w:val="en-US" w:eastAsia="zh-CN"/>
                    </w:rPr>
                    <w:t>）</w:t>
                  </w:r>
                </w:p>
              </w:tc>
              <w:tc>
                <w:tcPr>
                  <w:tcW w:w="2550" w:type="dxa"/>
                  <w:gridSpan w:val="2"/>
                  <w:vAlign w:val="center"/>
                </w:tcPr>
                <w:p w14:paraId="67EE8F9F">
                  <w:pPr>
                    <w:jc w:val="center"/>
                    <w:rPr>
                      <w:rFonts w:hint="eastAsia"/>
                      <w:b/>
                      <w:bCs/>
                      <w:color w:val="auto"/>
                      <w:szCs w:val="21"/>
                      <w:lang w:val="en-US" w:eastAsia="zh-CN"/>
                    </w:rPr>
                  </w:pPr>
                  <w:r>
                    <w:rPr>
                      <w:rFonts w:hint="eastAsia"/>
                      <w:b/>
                      <w:bCs/>
                      <w:color w:val="auto"/>
                      <w:szCs w:val="21"/>
                      <w:lang w:val="en-US" w:eastAsia="zh-CN"/>
                    </w:rPr>
                    <w:t>最高允许排放速率</w:t>
                  </w:r>
                </w:p>
              </w:tc>
              <w:tc>
                <w:tcPr>
                  <w:tcW w:w="1675" w:type="dxa"/>
                  <w:vMerge w:val="restart"/>
                  <w:vAlign w:val="center"/>
                </w:tcPr>
                <w:p w14:paraId="6EA35020">
                  <w:pPr>
                    <w:jc w:val="center"/>
                    <w:rPr>
                      <w:rFonts w:hint="default"/>
                      <w:b/>
                      <w:bCs/>
                      <w:color w:val="auto"/>
                      <w:szCs w:val="21"/>
                      <w:lang w:val="en-US" w:eastAsia="zh-CN"/>
                    </w:rPr>
                  </w:pPr>
                  <w:r>
                    <w:rPr>
                      <w:rFonts w:hint="eastAsia"/>
                      <w:b/>
                      <w:bCs/>
                      <w:color w:val="auto"/>
                      <w:szCs w:val="21"/>
                      <w:lang w:val="en-US" w:eastAsia="zh-CN"/>
                    </w:rPr>
                    <w:t>周界外浓度最高点（mg/m</w:t>
                  </w:r>
                  <w:r>
                    <w:rPr>
                      <w:rFonts w:hint="eastAsia"/>
                      <w:b/>
                      <w:bCs/>
                      <w:color w:val="auto"/>
                      <w:szCs w:val="21"/>
                      <w:vertAlign w:val="superscript"/>
                      <w:lang w:val="en-US" w:eastAsia="zh-CN"/>
                    </w:rPr>
                    <w:t>3</w:t>
                  </w:r>
                  <w:r>
                    <w:rPr>
                      <w:rFonts w:hint="eastAsia"/>
                      <w:b/>
                      <w:bCs/>
                      <w:color w:val="auto"/>
                      <w:szCs w:val="21"/>
                      <w:lang w:val="en-US" w:eastAsia="zh-CN"/>
                    </w:rPr>
                    <w:t>）</w:t>
                  </w:r>
                </w:p>
              </w:tc>
              <w:tc>
                <w:tcPr>
                  <w:tcW w:w="850" w:type="dxa"/>
                  <w:vMerge w:val="restart"/>
                  <w:vAlign w:val="center"/>
                </w:tcPr>
                <w:p w14:paraId="465F0AE1">
                  <w:pPr>
                    <w:jc w:val="center"/>
                    <w:rPr>
                      <w:rFonts w:hint="default"/>
                      <w:b/>
                      <w:bCs/>
                      <w:color w:val="auto"/>
                      <w:szCs w:val="21"/>
                      <w:lang w:val="en-US" w:eastAsia="zh-CN"/>
                    </w:rPr>
                  </w:pPr>
                  <w:r>
                    <w:rPr>
                      <w:rFonts w:hint="eastAsia"/>
                      <w:b/>
                      <w:bCs/>
                      <w:color w:val="auto"/>
                      <w:szCs w:val="21"/>
                      <w:lang w:val="en-US" w:eastAsia="zh-CN"/>
                    </w:rPr>
                    <w:t>备注</w:t>
                  </w:r>
                </w:p>
              </w:tc>
            </w:tr>
            <w:tr w14:paraId="4993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dxa"/>
                  <w:vMerge w:val="continue"/>
                  <w:vAlign w:val="center"/>
                </w:tcPr>
                <w:p w14:paraId="0D8205A5">
                  <w:pPr>
                    <w:jc w:val="center"/>
                    <w:rPr>
                      <w:rFonts w:hint="eastAsia"/>
                      <w:color w:val="auto"/>
                      <w:szCs w:val="21"/>
                      <w:lang w:val="en-US" w:eastAsia="zh-CN"/>
                    </w:rPr>
                  </w:pPr>
                </w:p>
              </w:tc>
              <w:tc>
                <w:tcPr>
                  <w:tcW w:w="1886" w:type="dxa"/>
                  <w:vMerge w:val="continue"/>
                  <w:vAlign w:val="center"/>
                </w:tcPr>
                <w:p w14:paraId="2733F8BD">
                  <w:pPr>
                    <w:jc w:val="center"/>
                    <w:rPr>
                      <w:rFonts w:hint="eastAsia"/>
                      <w:color w:val="auto"/>
                      <w:szCs w:val="21"/>
                      <w:lang w:val="en-US" w:eastAsia="zh-CN"/>
                    </w:rPr>
                  </w:pPr>
                </w:p>
              </w:tc>
              <w:tc>
                <w:tcPr>
                  <w:tcW w:w="1350" w:type="dxa"/>
                  <w:vAlign w:val="center"/>
                </w:tcPr>
                <w:p w14:paraId="581D4E31">
                  <w:pPr>
                    <w:jc w:val="center"/>
                    <w:rPr>
                      <w:rFonts w:hint="default"/>
                      <w:b/>
                      <w:bCs/>
                      <w:color w:val="auto"/>
                      <w:szCs w:val="21"/>
                      <w:lang w:val="en-US" w:eastAsia="zh-CN"/>
                    </w:rPr>
                  </w:pPr>
                  <w:r>
                    <w:rPr>
                      <w:rFonts w:hint="eastAsia"/>
                      <w:b/>
                      <w:bCs/>
                      <w:color w:val="auto"/>
                      <w:szCs w:val="21"/>
                      <w:lang w:val="en-US" w:eastAsia="zh-CN"/>
                    </w:rPr>
                    <w:t>排气筒（m）</w:t>
                  </w:r>
                </w:p>
              </w:tc>
              <w:tc>
                <w:tcPr>
                  <w:tcW w:w="1200" w:type="dxa"/>
                  <w:vAlign w:val="center"/>
                </w:tcPr>
                <w:p w14:paraId="205FB791">
                  <w:pPr>
                    <w:jc w:val="center"/>
                    <w:rPr>
                      <w:rFonts w:hint="default"/>
                      <w:b/>
                      <w:bCs/>
                      <w:color w:val="auto"/>
                      <w:szCs w:val="21"/>
                      <w:lang w:val="en-US" w:eastAsia="zh-CN"/>
                    </w:rPr>
                  </w:pPr>
                  <w:r>
                    <w:rPr>
                      <w:rFonts w:hint="eastAsia"/>
                      <w:b/>
                      <w:bCs/>
                      <w:color w:val="auto"/>
                      <w:szCs w:val="21"/>
                      <w:lang w:val="en-US" w:eastAsia="zh-CN"/>
                    </w:rPr>
                    <w:t>二级标准</w:t>
                  </w:r>
                </w:p>
              </w:tc>
              <w:tc>
                <w:tcPr>
                  <w:tcW w:w="1675" w:type="dxa"/>
                  <w:vMerge w:val="continue"/>
                  <w:vAlign w:val="center"/>
                </w:tcPr>
                <w:p w14:paraId="1DD58230">
                  <w:pPr>
                    <w:jc w:val="center"/>
                    <w:rPr>
                      <w:rFonts w:hint="eastAsia"/>
                      <w:color w:val="auto"/>
                      <w:szCs w:val="21"/>
                      <w:lang w:val="en-US" w:eastAsia="zh-CN"/>
                    </w:rPr>
                  </w:pPr>
                </w:p>
              </w:tc>
              <w:tc>
                <w:tcPr>
                  <w:tcW w:w="850" w:type="dxa"/>
                  <w:vMerge w:val="continue"/>
                  <w:vAlign w:val="center"/>
                </w:tcPr>
                <w:p w14:paraId="1407FD48">
                  <w:pPr>
                    <w:jc w:val="center"/>
                    <w:rPr>
                      <w:rFonts w:hint="eastAsia"/>
                      <w:color w:val="auto"/>
                      <w:szCs w:val="21"/>
                      <w:lang w:val="en-US" w:eastAsia="zh-CN"/>
                    </w:rPr>
                  </w:pPr>
                </w:p>
              </w:tc>
            </w:tr>
            <w:tr w14:paraId="71C6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dxa"/>
                  <w:vAlign w:val="center"/>
                </w:tcPr>
                <w:p w14:paraId="52E56651">
                  <w:pPr>
                    <w:jc w:val="center"/>
                    <w:rPr>
                      <w:rFonts w:hint="default"/>
                      <w:color w:val="auto"/>
                      <w:szCs w:val="21"/>
                      <w:lang w:val="en-US" w:eastAsia="zh-CN"/>
                    </w:rPr>
                  </w:pPr>
                  <w:r>
                    <w:rPr>
                      <w:rFonts w:hint="eastAsia"/>
                      <w:color w:val="auto"/>
                      <w:szCs w:val="21"/>
                      <w:lang w:val="en-US" w:eastAsia="zh-CN"/>
                    </w:rPr>
                    <w:t>颗粒物</w:t>
                  </w:r>
                </w:p>
              </w:tc>
              <w:tc>
                <w:tcPr>
                  <w:tcW w:w="1886" w:type="dxa"/>
                  <w:vAlign w:val="center"/>
                </w:tcPr>
                <w:p w14:paraId="3C5BAB0E">
                  <w:pPr>
                    <w:jc w:val="center"/>
                    <w:rPr>
                      <w:rFonts w:hint="default"/>
                      <w:color w:val="auto"/>
                      <w:szCs w:val="21"/>
                      <w:lang w:val="en-US" w:eastAsia="zh-CN"/>
                    </w:rPr>
                  </w:pPr>
                  <w:r>
                    <w:rPr>
                      <w:rFonts w:hint="eastAsia"/>
                      <w:color w:val="auto"/>
                      <w:szCs w:val="21"/>
                      <w:lang w:val="en-US" w:eastAsia="zh-CN"/>
                    </w:rPr>
                    <w:t>120</w:t>
                  </w:r>
                </w:p>
              </w:tc>
              <w:tc>
                <w:tcPr>
                  <w:tcW w:w="1350" w:type="dxa"/>
                  <w:vMerge w:val="restart"/>
                  <w:vAlign w:val="center"/>
                </w:tcPr>
                <w:p w14:paraId="3788F881">
                  <w:pPr>
                    <w:jc w:val="center"/>
                    <w:rPr>
                      <w:rFonts w:hint="default"/>
                      <w:color w:val="auto"/>
                      <w:szCs w:val="21"/>
                      <w:lang w:val="en-US" w:eastAsia="zh-CN"/>
                    </w:rPr>
                  </w:pPr>
                  <w:r>
                    <w:rPr>
                      <w:rFonts w:hint="eastAsia"/>
                      <w:color w:val="auto"/>
                      <w:szCs w:val="21"/>
                      <w:lang w:val="en-US" w:eastAsia="zh-CN"/>
                    </w:rPr>
                    <w:t>15</w:t>
                  </w:r>
                </w:p>
              </w:tc>
              <w:tc>
                <w:tcPr>
                  <w:tcW w:w="1200" w:type="dxa"/>
                  <w:vAlign w:val="center"/>
                </w:tcPr>
                <w:p w14:paraId="6593C99B">
                  <w:pPr>
                    <w:jc w:val="center"/>
                    <w:rPr>
                      <w:rFonts w:hint="default"/>
                      <w:color w:val="auto"/>
                      <w:szCs w:val="21"/>
                      <w:lang w:val="en-US" w:eastAsia="zh-CN"/>
                    </w:rPr>
                  </w:pPr>
                  <w:r>
                    <w:rPr>
                      <w:rFonts w:hint="eastAsia"/>
                      <w:color w:val="auto"/>
                      <w:szCs w:val="21"/>
                      <w:lang w:val="en-US" w:eastAsia="zh-CN"/>
                    </w:rPr>
                    <w:t>3.5</w:t>
                  </w:r>
                </w:p>
              </w:tc>
              <w:tc>
                <w:tcPr>
                  <w:tcW w:w="1675" w:type="dxa"/>
                  <w:vAlign w:val="center"/>
                </w:tcPr>
                <w:p w14:paraId="448F8130">
                  <w:pPr>
                    <w:jc w:val="center"/>
                    <w:rPr>
                      <w:rFonts w:hint="default"/>
                      <w:color w:val="auto"/>
                      <w:szCs w:val="21"/>
                      <w:lang w:val="en-US" w:eastAsia="zh-CN"/>
                    </w:rPr>
                  </w:pPr>
                  <w:r>
                    <w:rPr>
                      <w:rFonts w:hint="eastAsia"/>
                      <w:color w:val="auto"/>
                      <w:szCs w:val="21"/>
                      <w:lang w:val="en-US" w:eastAsia="zh-CN"/>
                    </w:rPr>
                    <w:t>1.0</w:t>
                  </w:r>
                </w:p>
              </w:tc>
              <w:tc>
                <w:tcPr>
                  <w:tcW w:w="850" w:type="dxa"/>
                  <w:vMerge w:val="restart"/>
                  <w:vAlign w:val="center"/>
                </w:tcPr>
                <w:p w14:paraId="65315044">
                  <w:pPr>
                    <w:jc w:val="center"/>
                    <w:rPr>
                      <w:rFonts w:hint="default"/>
                      <w:color w:val="auto"/>
                      <w:szCs w:val="21"/>
                      <w:lang w:val="en-US" w:eastAsia="zh-CN"/>
                    </w:rPr>
                  </w:pPr>
                  <w:r>
                    <w:rPr>
                      <w:rFonts w:hint="eastAsia"/>
                      <w:color w:val="auto"/>
                      <w:szCs w:val="21"/>
                      <w:lang w:val="en-US" w:eastAsia="zh-CN"/>
                    </w:rPr>
                    <w:t>/</w:t>
                  </w:r>
                </w:p>
              </w:tc>
            </w:tr>
            <w:tr w14:paraId="66BA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92" w:type="dxa"/>
                  <w:vAlign w:val="center"/>
                </w:tcPr>
                <w:p w14:paraId="6BD09754">
                  <w:pPr>
                    <w:jc w:val="center"/>
                    <w:rPr>
                      <w:rFonts w:hint="default"/>
                      <w:color w:val="auto"/>
                      <w:szCs w:val="21"/>
                      <w:lang w:val="en-US" w:eastAsia="zh-CN"/>
                    </w:rPr>
                  </w:pPr>
                  <w:r>
                    <w:rPr>
                      <w:rFonts w:hint="eastAsia"/>
                      <w:color w:val="auto"/>
                      <w:szCs w:val="21"/>
                      <w:lang w:val="en-US" w:eastAsia="zh-CN"/>
                    </w:rPr>
                    <w:t>非甲烷总烃</w:t>
                  </w:r>
                </w:p>
              </w:tc>
              <w:tc>
                <w:tcPr>
                  <w:tcW w:w="1886" w:type="dxa"/>
                  <w:vAlign w:val="center"/>
                </w:tcPr>
                <w:p w14:paraId="47EEEF89">
                  <w:pPr>
                    <w:jc w:val="center"/>
                    <w:rPr>
                      <w:rFonts w:hint="default"/>
                      <w:color w:val="auto"/>
                      <w:szCs w:val="21"/>
                      <w:lang w:val="en-US" w:eastAsia="zh-CN"/>
                    </w:rPr>
                  </w:pPr>
                  <w:r>
                    <w:rPr>
                      <w:rFonts w:hint="eastAsia"/>
                      <w:color w:val="auto"/>
                      <w:szCs w:val="21"/>
                      <w:lang w:val="en-US" w:eastAsia="zh-CN"/>
                    </w:rPr>
                    <w:t>120</w:t>
                  </w:r>
                </w:p>
              </w:tc>
              <w:tc>
                <w:tcPr>
                  <w:tcW w:w="1350" w:type="dxa"/>
                  <w:vMerge w:val="continue"/>
                  <w:vAlign w:val="center"/>
                </w:tcPr>
                <w:p w14:paraId="47C30AF7">
                  <w:pPr>
                    <w:jc w:val="center"/>
                    <w:rPr>
                      <w:rFonts w:hint="default"/>
                      <w:color w:val="auto"/>
                      <w:szCs w:val="21"/>
                      <w:lang w:val="en-US" w:eastAsia="zh-CN"/>
                    </w:rPr>
                  </w:pPr>
                </w:p>
              </w:tc>
              <w:tc>
                <w:tcPr>
                  <w:tcW w:w="1200" w:type="dxa"/>
                  <w:vAlign w:val="center"/>
                </w:tcPr>
                <w:p w14:paraId="628F1AA8">
                  <w:pPr>
                    <w:jc w:val="center"/>
                    <w:rPr>
                      <w:rFonts w:hint="default"/>
                      <w:color w:val="auto"/>
                      <w:szCs w:val="21"/>
                      <w:lang w:val="en-US" w:eastAsia="zh-CN"/>
                    </w:rPr>
                  </w:pPr>
                  <w:r>
                    <w:rPr>
                      <w:rFonts w:hint="eastAsia"/>
                      <w:color w:val="auto"/>
                      <w:szCs w:val="21"/>
                      <w:lang w:val="en-US" w:eastAsia="zh-CN"/>
                    </w:rPr>
                    <w:t>10</w:t>
                  </w:r>
                </w:p>
              </w:tc>
              <w:tc>
                <w:tcPr>
                  <w:tcW w:w="1675" w:type="dxa"/>
                  <w:vAlign w:val="center"/>
                </w:tcPr>
                <w:p w14:paraId="7DA71CDF">
                  <w:pPr>
                    <w:jc w:val="center"/>
                    <w:rPr>
                      <w:rFonts w:hint="default"/>
                      <w:color w:val="auto"/>
                      <w:szCs w:val="21"/>
                      <w:lang w:val="en-US" w:eastAsia="zh-CN"/>
                    </w:rPr>
                  </w:pPr>
                  <w:r>
                    <w:rPr>
                      <w:rFonts w:hint="eastAsia"/>
                      <w:color w:val="auto"/>
                      <w:szCs w:val="21"/>
                      <w:lang w:val="en-US" w:eastAsia="zh-CN"/>
                    </w:rPr>
                    <w:t>4.0</w:t>
                  </w:r>
                </w:p>
              </w:tc>
              <w:tc>
                <w:tcPr>
                  <w:tcW w:w="850" w:type="dxa"/>
                  <w:vMerge w:val="continue"/>
                  <w:vAlign w:val="center"/>
                </w:tcPr>
                <w:p w14:paraId="2272908F">
                  <w:pPr>
                    <w:jc w:val="center"/>
                    <w:rPr>
                      <w:rFonts w:hint="eastAsia"/>
                      <w:color w:val="auto"/>
                      <w:szCs w:val="21"/>
                      <w:lang w:val="en-US" w:eastAsia="zh-CN"/>
                    </w:rPr>
                  </w:pPr>
                </w:p>
              </w:tc>
            </w:tr>
          </w:tbl>
          <w:p w14:paraId="6747B2AA">
            <w:pPr>
              <w:tabs>
                <w:tab w:val="left" w:pos="2760"/>
              </w:tabs>
              <w:autoSpaceDE w:val="0"/>
              <w:autoSpaceDN w:val="0"/>
              <w:adjustRightInd w:val="0"/>
              <w:jc w:val="center"/>
              <w:rPr>
                <w:rFonts w:hint="default" w:eastAsia="宋体"/>
                <w:b/>
                <w:bCs/>
                <w:color w:val="auto"/>
                <w:sz w:val="24"/>
                <w:lang w:val="en-US" w:eastAsia="zh-CN"/>
              </w:rPr>
            </w:pPr>
            <w:r>
              <w:rPr>
                <w:rFonts w:hint="eastAsia"/>
                <w:b/>
                <w:bCs/>
                <w:color w:val="auto"/>
                <w:sz w:val="24"/>
                <w:lang w:val="en-US" w:eastAsia="zh-CN"/>
              </w:rPr>
              <w:t>表3-11    厂区内VOCs无组织排放限值</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1672"/>
              <w:gridCol w:w="1672"/>
              <w:gridCol w:w="1672"/>
            </w:tblGrid>
            <w:tr w14:paraId="0927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672" w:type="dxa"/>
                  <w:vAlign w:val="center"/>
                </w:tcPr>
                <w:p w14:paraId="09CFCD11">
                  <w:pPr>
                    <w:jc w:val="center"/>
                    <w:rPr>
                      <w:rFonts w:hint="default"/>
                      <w:b/>
                      <w:bCs/>
                      <w:color w:val="auto"/>
                      <w:szCs w:val="21"/>
                      <w:lang w:val="en-US" w:eastAsia="zh-CN"/>
                    </w:rPr>
                  </w:pPr>
                  <w:r>
                    <w:rPr>
                      <w:rFonts w:hint="eastAsia"/>
                      <w:b/>
                      <w:bCs/>
                      <w:color w:val="auto"/>
                      <w:szCs w:val="21"/>
                      <w:lang w:val="en-US" w:eastAsia="zh-CN"/>
                    </w:rPr>
                    <w:t>污染物名称</w:t>
                  </w:r>
                </w:p>
              </w:tc>
              <w:tc>
                <w:tcPr>
                  <w:tcW w:w="1672" w:type="dxa"/>
                  <w:vAlign w:val="center"/>
                </w:tcPr>
                <w:p w14:paraId="2EDC4460">
                  <w:pPr>
                    <w:jc w:val="center"/>
                    <w:rPr>
                      <w:rFonts w:hint="default"/>
                      <w:b/>
                      <w:bCs/>
                      <w:color w:val="auto"/>
                      <w:szCs w:val="21"/>
                      <w:lang w:val="en-US" w:eastAsia="zh-CN"/>
                    </w:rPr>
                  </w:pPr>
                  <w:r>
                    <w:rPr>
                      <w:rFonts w:hint="eastAsia"/>
                      <w:b/>
                      <w:bCs/>
                      <w:color w:val="auto"/>
                      <w:szCs w:val="21"/>
                      <w:lang w:val="en-US" w:eastAsia="zh-CN"/>
                    </w:rPr>
                    <w:t>排放限值（mg/m</w:t>
                  </w:r>
                  <w:r>
                    <w:rPr>
                      <w:rFonts w:hint="eastAsia"/>
                      <w:b/>
                      <w:bCs/>
                      <w:color w:val="auto"/>
                      <w:szCs w:val="21"/>
                      <w:vertAlign w:val="superscript"/>
                      <w:lang w:val="en-US" w:eastAsia="zh-CN"/>
                    </w:rPr>
                    <w:t>3</w:t>
                  </w:r>
                  <w:r>
                    <w:rPr>
                      <w:rFonts w:hint="eastAsia"/>
                      <w:b/>
                      <w:bCs/>
                      <w:color w:val="auto"/>
                      <w:szCs w:val="21"/>
                      <w:lang w:val="en-US" w:eastAsia="zh-CN"/>
                    </w:rPr>
                    <w:t>）</w:t>
                  </w:r>
                </w:p>
              </w:tc>
              <w:tc>
                <w:tcPr>
                  <w:tcW w:w="1672" w:type="dxa"/>
                  <w:vAlign w:val="center"/>
                </w:tcPr>
                <w:p w14:paraId="40593593">
                  <w:pPr>
                    <w:jc w:val="center"/>
                    <w:rPr>
                      <w:rFonts w:hint="default"/>
                      <w:b/>
                      <w:bCs/>
                      <w:color w:val="auto"/>
                      <w:szCs w:val="21"/>
                      <w:lang w:val="en-US" w:eastAsia="zh-CN"/>
                    </w:rPr>
                  </w:pPr>
                  <w:r>
                    <w:rPr>
                      <w:rFonts w:hint="eastAsia"/>
                      <w:b/>
                      <w:bCs/>
                      <w:color w:val="auto"/>
                      <w:szCs w:val="21"/>
                      <w:lang w:val="en-US" w:eastAsia="zh-CN"/>
                    </w:rPr>
                    <w:t>特别排放限值（mg/m</w:t>
                  </w:r>
                  <w:r>
                    <w:rPr>
                      <w:rFonts w:hint="eastAsia"/>
                      <w:b/>
                      <w:bCs/>
                      <w:color w:val="auto"/>
                      <w:szCs w:val="21"/>
                      <w:vertAlign w:val="superscript"/>
                      <w:lang w:val="en-US" w:eastAsia="zh-CN"/>
                    </w:rPr>
                    <w:t>3</w:t>
                  </w:r>
                  <w:r>
                    <w:rPr>
                      <w:rFonts w:hint="eastAsia"/>
                      <w:b/>
                      <w:bCs/>
                      <w:color w:val="auto"/>
                      <w:szCs w:val="21"/>
                      <w:lang w:val="en-US" w:eastAsia="zh-CN"/>
                    </w:rPr>
                    <w:t>）</w:t>
                  </w:r>
                </w:p>
              </w:tc>
              <w:tc>
                <w:tcPr>
                  <w:tcW w:w="1672" w:type="dxa"/>
                  <w:vAlign w:val="center"/>
                </w:tcPr>
                <w:p w14:paraId="73D2014D">
                  <w:pPr>
                    <w:jc w:val="center"/>
                    <w:rPr>
                      <w:rFonts w:hint="default"/>
                      <w:b/>
                      <w:bCs/>
                      <w:color w:val="auto"/>
                      <w:szCs w:val="21"/>
                      <w:lang w:val="en-US" w:eastAsia="zh-CN"/>
                    </w:rPr>
                  </w:pPr>
                  <w:r>
                    <w:rPr>
                      <w:rFonts w:hint="eastAsia"/>
                      <w:b/>
                      <w:bCs/>
                      <w:color w:val="auto"/>
                      <w:szCs w:val="21"/>
                      <w:lang w:val="en-US" w:eastAsia="zh-CN"/>
                    </w:rPr>
                    <w:t>限值含义</w:t>
                  </w:r>
                </w:p>
              </w:tc>
              <w:tc>
                <w:tcPr>
                  <w:tcW w:w="1672" w:type="dxa"/>
                  <w:vAlign w:val="center"/>
                </w:tcPr>
                <w:p w14:paraId="3D579EFC">
                  <w:pPr>
                    <w:jc w:val="center"/>
                    <w:rPr>
                      <w:rFonts w:hint="default"/>
                      <w:b/>
                      <w:bCs/>
                      <w:color w:val="auto"/>
                      <w:szCs w:val="21"/>
                      <w:lang w:val="en-US" w:eastAsia="zh-CN"/>
                    </w:rPr>
                  </w:pPr>
                  <w:r>
                    <w:rPr>
                      <w:rFonts w:hint="eastAsia"/>
                      <w:b/>
                      <w:bCs/>
                      <w:color w:val="auto"/>
                      <w:szCs w:val="21"/>
                      <w:lang w:val="en-US" w:eastAsia="zh-CN"/>
                    </w:rPr>
                    <w:t>无组织排放监控位置</w:t>
                  </w:r>
                </w:p>
              </w:tc>
            </w:tr>
            <w:tr w14:paraId="7B6DE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2" w:type="dxa"/>
                  <w:vMerge w:val="restart"/>
                  <w:vAlign w:val="center"/>
                </w:tcPr>
                <w:p w14:paraId="23B4255D">
                  <w:pPr>
                    <w:jc w:val="center"/>
                    <w:rPr>
                      <w:rFonts w:hint="default"/>
                      <w:color w:val="auto"/>
                      <w:szCs w:val="21"/>
                      <w:lang w:val="en-US" w:eastAsia="zh-CN"/>
                    </w:rPr>
                  </w:pPr>
                  <w:r>
                    <w:rPr>
                      <w:rFonts w:hint="eastAsia"/>
                      <w:color w:val="auto"/>
                      <w:szCs w:val="21"/>
                      <w:lang w:val="en-US" w:eastAsia="zh-CN"/>
                    </w:rPr>
                    <w:t>NMHC</w:t>
                  </w:r>
                </w:p>
              </w:tc>
              <w:tc>
                <w:tcPr>
                  <w:tcW w:w="1672" w:type="dxa"/>
                  <w:vAlign w:val="center"/>
                </w:tcPr>
                <w:p w14:paraId="131ED543">
                  <w:pPr>
                    <w:jc w:val="center"/>
                    <w:rPr>
                      <w:rFonts w:hint="default"/>
                      <w:color w:val="auto"/>
                      <w:szCs w:val="21"/>
                      <w:lang w:val="en-US" w:eastAsia="zh-CN"/>
                    </w:rPr>
                  </w:pPr>
                  <w:r>
                    <w:rPr>
                      <w:rFonts w:hint="eastAsia"/>
                      <w:color w:val="auto"/>
                      <w:szCs w:val="21"/>
                      <w:lang w:val="en-US" w:eastAsia="zh-CN"/>
                    </w:rPr>
                    <w:t>10</w:t>
                  </w:r>
                </w:p>
              </w:tc>
              <w:tc>
                <w:tcPr>
                  <w:tcW w:w="1672" w:type="dxa"/>
                  <w:vAlign w:val="center"/>
                </w:tcPr>
                <w:p w14:paraId="3A6DDE8B">
                  <w:pPr>
                    <w:jc w:val="center"/>
                    <w:rPr>
                      <w:rFonts w:hint="default"/>
                      <w:color w:val="auto"/>
                      <w:szCs w:val="21"/>
                      <w:lang w:val="en-US" w:eastAsia="zh-CN"/>
                    </w:rPr>
                  </w:pPr>
                  <w:r>
                    <w:rPr>
                      <w:rFonts w:hint="eastAsia"/>
                      <w:color w:val="auto"/>
                      <w:szCs w:val="21"/>
                      <w:lang w:val="en-US" w:eastAsia="zh-CN"/>
                    </w:rPr>
                    <w:t>6</w:t>
                  </w:r>
                </w:p>
              </w:tc>
              <w:tc>
                <w:tcPr>
                  <w:tcW w:w="1672" w:type="dxa"/>
                  <w:vAlign w:val="center"/>
                </w:tcPr>
                <w:p w14:paraId="5D6E92D7">
                  <w:pPr>
                    <w:jc w:val="center"/>
                    <w:rPr>
                      <w:rFonts w:hint="default"/>
                      <w:color w:val="auto"/>
                      <w:szCs w:val="21"/>
                      <w:lang w:val="en-US" w:eastAsia="zh-CN"/>
                    </w:rPr>
                  </w:pPr>
                  <w:r>
                    <w:rPr>
                      <w:rFonts w:hint="eastAsia"/>
                      <w:color w:val="auto"/>
                      <w:szCs w:val="21"/>
                      <w:lang w:val="en-US" w:eastAsia="zh-CN"/>
                    </w:rPr>
                    <w:t>监控点处1h平均浓度值</w:t>
                  </w:r>
                </w:p>
              </w:tc>
              <w:tc>
                <w:tcPr>
                  <w:tcW w:w="1672" w:type="dxa"/>
                  <w:vMerge w:val="restart"/>
                  <w:vAlign w:val="center"/>
                </w:tcPr>
                <w:p w14:paraId="5B42ADA0">
                  <w:pPr>
                    <w:jc w:val="center"/>
                    <w:rPr>
                      <w:rFonts w:hint="default"/>
                      <w:color w:val="auto"/>
                      <w:szCs w:val="21"/>
                      <w:lang w:val="en-US" w:eastAsia="zh-CN"/>
                    </w:rPr>
                  </w:pPr>
                  <w:r>
                    <w:rPr>
                      <w:rFonts w:hint="eastAsia"/>
                      <w:color w:val="auto"/>
                      <w:szCs w:val="21"/>
                      <w:lang w:val="en-US" w:eastAsia="zh-CN"/>
                    </w:rPr>
                    <w:t>在厂房外设置监控点</w:t>
                  </w:r>
                </w:p>
              </w:tc>
            </w:tr>
            <w:tr w14:paraId="1789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2" w:type="dxa"/>
                  <w:vMerge w:val="continue"/>
                  <w:vAlign w:val="center"/>
                </w:tcPr>
                <w:p w14:paraId="4C510937">
                  <w:pPr>
                    <w:jc w:val="center"/>
                    <w:rPr>
                      <w:rFonts w:hint="eastAsia"/>
                      <w:color w:val="auto"/>
                      <w:szCs w:val="21"/>
                      <w:lang w:val="en-US" w:eastAsia="zh-CN"/>
                    </w:rPr>
                  </w:pPr>
                </w:p>
              </w:tc>
              <w:tc>
                <w:tcPr>
                  <w:tcW w:w="1672" w:type="dxa"/>
                  <w:vAlign w:val="center"/>
                </w:tcPr>
                <w:p w14:paraId="307DB36D">
                  <w:pPr>
                    <w:jc w:val="center"/>
                    <w:rPr>
                      <w:rFonts w:hint="default"/>
                      <w:color w:val="auto"/>
                      <w:szCs w:val="21"/>
                      <w:lang w:val="en-US" w:eastAsia="zh-CN"/>
                    </w:rPr>
                  </w:pPr>
                  <w:r>
                    <w:rPr>
                      <w:rFonts w:hint="eastAsia"/>
                      <w:color w:val="auto"/>
                      <w:szCs w:val="21"/>
                      <w:lang w:val="en-US" w:eastAsia="zh-CN"/>
                    </w:rPr>
                    <w:t>30</w:t>
                  </w:r>
                </w:p>
              </w:tc>
              <w:tc>
                <w:tcPr>
                  <w:tcW w:w="1672" w:type="dxa"/>
                  <w:vAlign w:val="center"/>
                </w:tcPr>
                <w:p w14:paraId="71D2FEAB">
                  <w:pPr>
                    <w:jc w:val="center"/>
                    <w:rPr>
                      <w:rFonts w:hint="default"/>
                      <w:color w:val="auto"/>
                      <w:szCs w:val="21"/>
                      <w:lang w:val="en-US" w:eastAsia="zh-CN"/>
                    </w:rPr>
                  </w:pPr>
                  <w:r>
                    <w:rPr>
                      <w:rFonts w:hint="eastAsia"/>
                      <w:color w:val="auto"/>
                      <w:szCs w:val="21"/>
                      <w:lang w:val="en-US" w:eastAsia="zh-CN"/>
                    </w:rPr>
                    <w:t>20</w:t>
                  </w:r>
                </w:p>
              </w:tc>
              <w:tc>
                <w:tcPr>
                  <w:tcW w:w="1672" w:type="dxa"/>
                  <w:vAlign w:val="center"/>
                </w:tcPr>
                <w:p w14:paraId="56B839AE">
                  <w:pPr>
                    <w:jc w:val="center"/>
                    <w:rPr>
                      <w:rFonts w:hint="default"/>
                      <w:color w:val="auto"/>
                      <w:szCs w:val="21"/>
                      <w:lang w:val="en-US" w:eastAsia="zh-CN"/>
                    </w:rPr>
                  </w:pPr>
                  <w:r>
                    <w:rPr>
                      <w:rFonts w:hint="eastAsia"/>
                      <w:color w:val="auto"/>
                      <w:szCs w:val="21"/>
                      <w:lang w:val="en-US" w:eastAsia="zh-CN"/>
                    </w:rPr>
                    <w:t>监控点处任意一次浓度值</w:t>
                  </w:r>
                </w:p>
              </w:tc>
              <w:tc>
                <w:tcPr>
                  <w:tcW w:w="1672" w:type="dxa"/>
                  <w:vMerge w:val="continue"/>
                  <w:vAlign w:val="center"/>
                </w:tcPr>
                <w:p w14:paraId="56C60D46">
                  <w:pPr>
                    <w:jc w:val="center"/>
                    <w:rPr>
                      <w:rFonts w:hint="eastAsia"/>
                      <w:color w:val="auto"/>
                      <w:szCs w:val="21"/>
                      <w:lang w:val="en-US" w:eastAsia="zh-CN"/>
                    </w:rPr>
                  </w:pPr>
                </w:p>
              </w:tc>
            </w:tr>
          </w:tbl>
          <w:p w14:paraId="3E30DDBE">
            <w:pPr>
              <w:tabs>
                <w:tab w:val="left" w:pos="2760"/>
              </w:tabs>
              <w:autoSpaceDE w:val="0"/>
              <w:autoSpaceDN w:val="0"/>
              <w:adjustRightInd w:val="0"/>
              <w:jc w:val="center"/>
              <w:rPr>
                <w:rFonts w:hint="default"/>
                <w:b/>
                <w:bCs/>
                <w:color w:val="auto"/>
                <w:sz w:val="24"/>
                <w:lang w:val="en-US" w:eastAsia="zh-CN"/>
              </w:rPr>
            </w:pPr>
            <w:r>
              <w:rPr>
                <w:rFonts w:hint="eastAsia"/>
                <w:b/>
                <w:bCs/>
                <w:color w:val="auto"/>
                <w:sz w:val="24"/>
              </w:rPr>
              <w:t>表3-</w:t>
            </w:r>
            <w:r>
              <w:rPr>
                <w:rFonts w:hint="eastAsia"/>
                <w:b/>
                <w:bCs/>
                <w:color w:val="auto"/>
                <w:sz w:val="24"/>
                <w:lang w:val="en-US" w:eastAsia="zh-CN"/>
              </w:rPr>
              <w:t>12</w:t>
            </w:r>
            <w:r>
              <w:rPr>
                <w:rFonts w:hint="eastAsia"/>
                <w:b/>
                <w:bCs/>
                <w:color w:val="auto"/>
                <w:sz w:val="24"/>
              </w:rPr>
              <w:t xml:space="preserve">     </w:t>
            </w:r>
            <w:r>
              <w:rPr>
                <w:rFonts w:hint="eastAsia"/>
                <w:b/>
                <w:bCs/>
                <w:color w:val="auto"/>
                <w:sz w:val="24"/>
                <w:lang w:val="en-US" w:eastAsia="zh-CN"/>
              </w:rPr>
              <w:t>恶臭污染物厂界标准值</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2781"/>
              <w:gridCol w:w="2781"/>
            </w:tblGrid>
            <w:tr w14:paraId="33F7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2A615B66">
                  <w:pPr>
                    <w:jc w:val="center"/>
                    <w:rPr>
                      <w:rFonts w:hint="eastAsia"/>
                      <w:color w:val="auto"/>
                      <w:szCs w:val="21"/>
                      <w:lang w:val="en-US" w:eastAsia="zh-CN"/>
                    </w:rPr>
                  </w:pPr>
                  <w:r>
                    <w:rPr>
                      <w:rFonts w:hint="eastAsia"/>
                      <w:b/>
                      <w:bCs/>
                      <w:color w:val="auto"/>
                      <w:szCs w:val="21"/>
                      <w:lang w:val="en-US" w:eastAsia="zh-CN"/>
                    </w:rPr>
                    <w:t>污染物名称</w:t>
                  </w:r>
                </w:p>
              </w:tc>
              <w:tc>
                <w:tcPr>
                  <w:tcW w:w="1666" w:type="pct"/>
                  <w:vAlign w:val="center"/>
                </w:tcPr>
                <w:p w14:paraId="278F9482">
                  <w:pPr>
                    <w:jc w:val="center"/>
                    <w:rPr>
                      <w:rFonts w:hint="default"/>
                      <w:b/>
                      <w:bCs/>
                      <w:color w:val="auto"/>
                      <w:szCs w:val="21"/>
                      <w:lang w:val="en-US" w:eastAsia="zh-CN"/>
                    </w:rPr>
                  </w:pPr>
                  <w:r>
                    <w:rPr>
                      <w:rFonts w:hint="eastAsia"/>
                      <w:b/>
                      <w:bCs/>
                      <w:color w:val="auto"/>
                      <w:szCs w:val="21"/>
                      <w:lang w:val="en-US" w:eastAsia="zh-CN"/>
                    </w:rPr>
                    <w:t>单位</w:t>
                  </w:r>
                </w:p>
              </w:tc>
              <w:tc>
                <w:tcPr>
                  <w:tcW w:w="1666" w:type="pct"/>
                  <w:vAlign w:val="center"/>
                </w:tcPr>
                <w:p w14:paraId="1E455DD3">
                  <w:pPr>
                    <w:jc w:val="center"/>
                    <w:rPr>
                      <w:rFonts w:hint="default"/>
                      <w:b/>
                      <w:bCs/>
                      <w:color w:val="auto"/>
                      <w:szCs w:val="21"/>
                      <w:lang w:val="en-US" w:eastAsia="zh-CN"/>
                    </w:rPr>
                  </w:pPr>
                  <w:r>
                    <w:rPr>
                      <w:rFonts w:hint="eastAsia"/>
                      <w:b/>
                      <w:bCs/>
                      <w:color w:val="auto"/>
                      <w:szCs w:val="21"/>
                      <w:lang w:val="en-US" w:eastAsia="zh-CN"/>
                    </w:rPr>
                    <w:t>浓度限值（新改扩建二级）</w:t>
                  </w:r>
                </w:p>
              </w:tc>
            </w:tr>
            <w:tr w14:paraId="0037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14:paraId="1452BEDF">
                  <w:pPr>
                    <w:jc w:val="center"/>
                    <w:rPr>
                      <w:rFonts w:hint="default"/>
                      <w:color w:val="auto"/>
                      <w:szCs w:val="21"/>
                      <w:lang w:val="en-US" w:eastAsia="zh-CN"/>
                    </w:rPr>
                  </w:pPr>
                  <w:r>
                    <w:rPr>
                      <w:rFonts w:hint="eastAsia"/>
                      <w:color w:val="auto"/>
                      <w:szCs w:val="21"/>
                      <w:lang w:val="en-US" w:eastAsia="zh-CN"/>
                    </w:rPr>
                    <w:t>臭气浓度</w:t>
                  </w:r>
                </w:p>
              </w:tc>
              <w:tc>
                <w:tcPr>
                  <w:tcW w:w="1666" w:type="pct"/>
                  <w:vAlign w:val="center"/>
                </w:tcPr>
                <w:p w14:paraId="76C937B1">
                  <w:pPr>
                    <w:jc w:val="center"/>
                    <w:rPr>
                      <w:rFonts w:hint="default"/>
                      <w:color w:val="auto"/>
                      <w:szCs w:val="21"/>
                      <w:lang w:val="en-US" w:eastAsia="zh-CN"/>
                    </w:rPr>
                  </w:pPr>
                  <w:r>
                    <w:rPr>
                      <w:rFonts w:hint="eastAsia"/>
                      <w:color w:val="auto"/>
                      <w:szCs w:val="21"/>
                      <w:lang w:val="en-US" w:eastAsia="zh-CN"/>
                    </w:rPr>
                    <w:t>无量纲</w:t>
                  </w:r>
                </w:p>
              </w:tc>
              <w:tc>
                <w:tcPr>
                  <w:tcW w:w="1666" w:type="pct"/>
                  <w:vAlign w:val="center"/>
                </w:tcPr>
                <w:p w14:paraId="3158D753">
                  <w:pPr>
                    <w:jc w:val="center"/>
                    <w:rPr>
                      <w:rFonts w:hint="default"/>
                      <w:color w:val="auto"/>
                      <w:szCs w:val="21"/>
                      <w:lang w:val="en-US" w:eastAsia="zh-CN"/>
                    </w:rPr>
                  </w:pPr>
                  <w:r>
                    <w:rPr>
                      <w:rFonts w:hint="eastAsia"/>
                      <w:color w:val="auto"/>
                      <w:szCs w:val="21"/>
                      <w:lang w:val="en-US" w:eastAsia="zh-CN"/>
                    </w:rPr>
                    <w:t>20</w:t>
                  </w:r>
                </w:p>
              </w:tc>
            </w:tr>
          </w:tbl>
          <w:p w14:paraId="7E1A4639">
            <w:pPr>
              <w:tabs>
                <w:tab w:val="left" w:pos="2760"/>
              </w:tabs>
              <w:autoSpaceDE w:val="0"/>
              <w:autoSpaceDN w:val="0"/>
              <w:adjustRightInd w:val="0"/>
              <w:spacing w:line="360" w:lineRule="auto"/>
              <w:rPr>
                <w:rFonts w:cs="隶书"/>
                <w:color w:val="auto"/>
                <w:sz w:val="24"/>
              </w:rPr>
            </w:pPr>
            <w:r>
              <w:rPr>
                <w:rFonts w:hint="eastAsia"/>
                <w:b/>
                <w:bCs/>
                <w:color w:val="auto"/>
                <w:kern w:val="44"/>
                <w:sz w:val="24"/>
              </w:rPr>
              <w:t xml:space="preserve">2 </w:t>
            </w:r>
            <w:r>
              <w:rPr>
                <w:b/>
                <w:bCs/>
                <w:color w:val="auto"/>
                <w:kern w:val="44"/>
                <w:sz w:val="24"/>
              </w:rPr>
              <w:t>废水</w:t>
            </w:r>
          </w:p>
          <w:p w14:paraId="066ADC20">
            <w:pPr>
              <w:adjustRightInd w:val="0"/>
              <w:spacing w:line="360" w:lineRule="auto"/>
              <w:ind w:firstLine="480" w:firstLineChars="200"/>
              <w:rPr>
                <w:color w:val="auto"/>
                <w:sz w:val="24"/>
              </w:rPr>
            </w:pPr>
            <w:r>
              <w:rPr>
                <w:rFonts w:hint="eastAsia"/>
                <w:color w:val="auto"/>
                <w:sz w:val="24"/>
              </w:rPr>
              <w:t>生活废水达到《污水综合排放标准》</w:t>
            </w:r>
            <w:r>
              <w:rPr>
                <w:rFonts w:hint="eastAsia"/>
                <w:color w:val="auto"/>
                <w:sz w:val="24"/>
                <w:lang w:eastAsia="zh-CN"/>
              </w:rPr>
              <w:t>（</w:t>
            </w:r>
            <w:r>
              <w:rPr>
                <w:rFonts w:hint="eastAsia"/>
                <w:color w:val="auto"/>
                <w:sz w:val="24"/>
              </w:rPr>
              <w:t>GB8978-1996</w:t>
            </w:r>
            <w:r>
              <w:rPr>
                <w:rFonts w:hint="eastAsia"/>
                <w:color w:val="auto"/>
                <w:sz w:val="24"/>
                <w:lang w:eastAsia="zh-CN"/>
              </w:rPr>
              <w:t>）</w:t>
            </w:r>
            <w:r>
              <w:rPr>
                <w:rFonts w:hint="eastAsia"/>
                <w:color w:val="auto"/>
                <w:sz w:val="24"/>
              </w:rPr>
              <w:t>表4中的三级标准。具体标准值见下表。生产废水达到《污水排入城镇下水道水质标准》</w:t>
            </w:r>
            <w:r>
              <w:rPr>
                <w:rFonts w:hint="eastAsia"/>
                <w:color w:val="auto"/>
                <w:sz w:val="24"/>
                <w:lang w:eastAsia="zh-CN"/>
              </w:rPr>
              <w:t>（</w:t>
            </w:r>
            <w:r>
              <w:rPr>
                <w:rFonts w:hint="eastAsia"/>
                <w:color w:val="auto"/>
                <w:sz w:val="24"/>
              </w:rPr>
              <w:t>GB/T31962-2015</w:t>
            </w:r>
            <w:r>
              <w:rPr>
                <w:rFonts w:hint="eastAsia"/>
                <w:color w:val="auto"/>
                <w:sz w:val="24"/>
                <w:lang w:eastAsia="zh-CN"/>
              </w:rPr>
              <w:t>）</w:t>
            </w:r>
            <w:r>
              <w:rPr>
                <w:rFonts w:hint="eastAsia"/>
                <w:color w:val="auto"/>
                <w:sz w:val="24"/>
              </w:rPr>
              <w:t>表1中的B级标准。</w:t>
            </w:r>
          </w:p>
          <w:p w14:paraId="044CEE9A">
            <w:pPr>
              <w:tabs>
                <w:tab w:val="left" w:pos="2760"/>
              </w:tabs>
              <w:autoSpaceDE w:val="0"/>
              <w:autoSpaceDN w:val="0"/>
              <w:adjustRightInd w:val="0"/>
              <w:jc w:val="center"/>
              <w:rPr>
                <w:rFonts w:hint="default" w:eastAsia="宋体"/>
                <w:b/>
                <w:bCs/>
                <w:color w:val="auto"/>
                <w:sz w:val="24"/>
                <w:lang w:val="en-US" w:eastAsia="zh-CN"/>
              </w:rPr>
            </w:pPr>
            <w:r>
              <w:rPr>
                <w:rFonts w:hint="eastAsia"/>
                <w:b/>
                <w:bCs/>
                <w:color w:val="auto"/>
                <w:sz w:val="24"/>
              </w:rPr>
              <w:t>表3-</w:t>
            </w:r>
            <w:r>
              <w:rPr>
                <w:rFonts w:hint="eastAsia"/>
                <w:b/>
                <w:bCs/>
                <w:color w:val="auto"/>
                <w:sz w:val="24"/>
                <w:lang w:val="en-US" w:eastAsia="zh-CN"/>
              </w:rPr>
              <w:t>13</w:t>
            </w:r>
            <w:r>
              <w:rPr>
                <w:rFonts w:hint="eastAsia"/>
                <w:b/>
                <w:bCs/>
                <w:color w:val="auto"/>
                <w:sz w:val="24"/>
              </w:rPr>
              <w:t xml:space="preserve">    </w:t>
            </w:r>
            <w:r>
              <w:rPr>
                <w:rFonts w:hint="eastAsia"/>
                <w:b/>
                <w:bCs/>
                <w:color w:val="auto"/>
                <w:sz w:val="24"/>
                <w:lang w:val="en-US" w:eastAsia="zh-CN"/>
              </w:rPr>
              <w:t>基本控制项目最高允许排放浓度（日均值）  单位：mg/L</w:t>
            </w:r>
          </w:p>
          <w:tbl>
            <w:tblPr>
              <w:tblStyle w:val="28"/>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4"/>
              <w:gridCol w:w="2669"/>
              <w:gridCol w:w="3738"/>
            </w:tblGrid>
            <w:tr w14:paraId="603DA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12" w:space="0"/>
                    <w:left w:val="nil"/>
                    <w:bottom w:val="single" w:color="auto" w:sz="6" w:space="0"/>
                    <w:right w:val="single" w:color="auto" w:sz="4" w:space="0"/>
                  </w:tcBorders>
                  <w:vAlign w:val="center"/>
                </w:tcPr>
                <w:p w14:paraId="51D2C06A">
                  <w:pPr>
                    <w:jc w:val="center"/>
                    <w:rPr>
                      <w:rFonts w:hint="default"/>
                      <w:color w:val="auto"/>
                      <w:szCs w:val="21"/>
                      <w:lang w:val="en-US" w:eastAsia="zh-CN"/>
                    </w:rPr>
                  </w:pPr>
                  <w:r>
                    <w:rPr>
                      <w:rFonts w:hint="eastAsia"/>
                      <w:color w:val="auto"/>
                      <w:szCs w:val="21"/>
                      <w:lang w:val="en-US" w:eastAsia="zh-CN"/>
                    </w:rPr>
                    <w:t>序号</w:t>
                  </w:r>
                </w:p>
              </w:tc>
              <w:tc>
                <w:tcPr>
                  <w:tcW w:w="1604" w:type="pct"/>
                  <w:tcBorders>
                    <w:top w:val="single" w:color="auto" w:sz="12" w:space="0"/>
                    <w:left w:val="single" w:color="auto" w:sz="4" w:space="0"/>
                    <w:bottom w:val="single" w:color="auto" w:sz="6" w:space="0"/>
                  </w:tcBorders>
                  <w:vAlign w:val="center"/>
                </w:tcPr>
                <w:p w14:paraId="48AE78EB">
                  <w:pPr>
                    <w:jc w:val="center"/>
                    <w:rPr>
                      <w:rFonts w:hint="default"/>
                      <w:color w:val="auto"/>
                      <w:szCs w:val="21"/>
                      <w:lang w:val="en-US" w:eastAsia="zh-CN"/>
                    </w:rPr>
                  </w:pPr>
                  <w:r>
                    <w:rPr>
                      <w:rFonts w:hint="eastAsia"/>
                      <w:color w:val="auto"/>
                      <w:szCs w:val="21"/>
                      <w:lang w:val="en-US" w:eastAsia="zh-CN"/>
                    </w:rPr>
                    <w:t>污染物或项目名称</w:t>
                  </w:r>
                </w:p>
              </w:tc>
              <w:tc>
                <w:tcPr>
                  <w:tcW w:w="2246" w:type="pct"/>
                  <w:tcBorders>
                    <w:top w:val="single" w:color="auto" w:sz="12" w:space="0"/>
                    <w:bottom w:val="single" w:color="auto" w:sz="6" w:space="0"/>
                    <w:right w:val="nil"/>
                  </w:tcBorders>
                  <w:vAlign w:val="center"/>
                </w:tcPr>
                <w:p w14:paraId="00523B98">
                  <w:pPr>
                    <w:jc w:val="center"/>
                    <w:rPr>
                      <w:rFonts w:hint="default"/>
                      <w:color w:val="auto"/>
                      <w:szCs w:val="21"/>
                      <w:lang w:val="en-US" w:eastAsia="zh-CN"/>
                    </w:rPr>
                  </w:pPr>
                  <w:r>
                    <w:rPr>
                      <w:rFonts w:hint="eastAsia"/>
                      <w:color w:val="auto"/>
                      <w:szCs w:val="21"/>
                      <w:lang w:val="en-US" w:eastAsia="zh-CN"/>
                    </w:rPr>
                    <w:t>排放限值</w:t>
                  </w:r>
                </w:p>
              </w:tc>
            </w:tr>
            <w:tr w14:paraId="6B1943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380B91E2">
                  <w:pPr>
                    <w:jc w:val="center"/>
                    <w:rPr>
                      <w:rFonts w:hint="default"/>
                      <w:color w:val="auto"/>
                      <w:szCs w:val="21"/>
                      <w:lang w:val="en-US" w:eastAsia="zh-CN"/>
                    </w:rPr>
                  </w:pPr>
                  <w:r>
                    <w:rPr>
                      <w:rFonts w:hint="eastAsia"/>
                      <w:color w:val="auto"/>
                      <w:szCs w:val="21"/>
                      <w:lang w:val="en-US" w:eastAsia="zh-CN"/>
                    </w:rPr>
                    <w:t>1</w:t>
                  </w:r>
                </w:p>
              </w:tc>
              <w:tc>
                <w:tcPr>
                  <w:tcW w:w="1604" w:type="pct"/>
                  <w:tcBorders>
                    <w:top w:val="single" w:color="auto" w:sz="6" w:space="0"/>
                    <w:left w:val="single" w:color="auto" w:sz="4" w:space="0"/>
                    <w:bottom w:val="single" w:color="auto" w:sz="6" w:space="0"/>
                  </w:tcBorders>
                  <w:vAlign w:val="center"/>
                </w:tcPr>
                <w:p w14:paraId="60C68BE9">
                  <w:pPr>
                    <w:jc w:val="center"/>
                    <w:rPr>
                      <w:rFonts w:hint="default"/>
                      <w:color w:val="auto"/>
                      <w:szCs w:val="21"/>
                      <w:lang w:val="en-US" w:eastAsia="zh-CN"/>
                    </w:rPr>
                  </w:pPr>
                  <w:r>
                    <w:rPr>
                      <w:rFonts w:hint="eastAsia"/>
                      <w:color w:val="auto"/>
                      <w:szCs w:val="21"/>
                      <w:lang w:val="en-US" w:eastAsia="zh-CN"/>
                    </w:rPr>
                    <w:t>化学需氧量</w:t>
                  </w:r>
                </w:p>
              </w:tc>
              <w:tc>
                <w:tcPr>
                  <w:tcW w:w="2246" w:type="pct"/>
                  <w:tcBorders>
                    <w:top w:val="single" w:color="auto" w:sz="6" w:space="0"/>
                    <w:bottom w:val="single" w:color="auto" w:sz="6" w:space="0"/>
                    <w:right w:val="nil"/>
                  </w:tcBorders>
                  <w:vAlign w:val="center"/>
                </w:tcPr>
                <w:p w14:paraId="3E2EA28A">
                  <w:pPr>
                    <w:jc w:val="center"/>
                    <w:rPr>
                      <w:rFonts w:hint="default"/>
                      <w:color w:val="auto"/>
                      <w:szCs w:val="21"/>
                      <w:lang w:val="en-US" w:eastAsia="zh-CN"/>
                    </w:rPr>
                  </w:pPr>
                  <w:r>
                    <w:rPr>
                      <w:rFonts w:hint="eastAsia"/>
                      <w:color w:val="auto"/>
                      <w:szCs w:val="21"/>
                      <w:lang w:val="en-US" w:eastAsia="zh-CN"/>
                    </w:rPr>
                    <w:t>500</w:t>
                  </w:r>
                </w:p>
              </w:tc>
            </w:tr>
            <w:tr w14:paraId="388DBA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3F0111D1">
                  <w:pPr>
                    <w:jc w:val="center"/>
                    <w:rPr>
                      <w:rFonts w:hint="default"/>
                      <w:color w:val="auto"/>
                      <w:szCs w:val="21"/>
                      <w:lang w:val="en-US" w:eastAsia="zh-CN"/>
                    </w:rPr>
                  </w:pPr>
                  <w:r>
                    <w:rPr>
                      <w:rFonts w:hint="eastAsia"/>
                      <w:color w:val="auto"/>
                      <w:szCs w:val="21"/>
                      <w:lang w:val="en-US" w:eastAsia="zh-CN"/>
                    </w:rPr>
                    <w:t>2</w:t>
                  </w:r>
                </w:p>
              </w:tc>
              <w:tc>
                <w:tcPr>
                  <w:tcW w:w="1604" w:type="pct"/>
                  <w:tcBorders>
                    <w:top w:val="single" w:color="auto" w:sz="6" w:space="0"/>
                    <w:left w:val="single" w:color="auto" w:sz="4" w:space="0"/>
                    <w:bottom w:val="single" w:color="auto" w:sz="6" w:space="0"/>
                  </w:tcBorders>
                  <w:vAlign w:val="center"/>
                </w:tcPr>
                <w:p w14:paraId="5B0551ED">
                  <w:pPr>
                    <w:jc w:val="center"/>
                    <w:rPr>
                      <w:rFonts w:hint="default"/>
                      <w:color w:val="auto"/>
                      <w:szCs w:val="21"/>
                      <w:lang w:val="en-US" w:eastAsia="zh-CN"/>
                    </w:rPr>
                  </w:pPr>
                  <w:r>
                    <w:rPr>
                      <w:rFonts w:hint="eastAsia"/>
                      <w:color w:val="auto"/>
                      <w:szCs w:val="21"/>
                      <w:lang w:val="en-US" w:eastAsia="zh-CN"/>
                    </w:rPr>
                    <w:t>生化需氧量</w:t>
                  </w:r>
                </w:p>
              </w:tc>
              <w:tc>
                <w:tcPr>
                  <w:tcW w:w="2246" w:type="pct"/>
                  <w:tcBorders>
                    <w:top w:val="single" w:color="auto" w:sz="6" w:space="0"/>
                    <w:bottom w:val="single" w:color="auto" w:sz="6" w:space="0"/>
                    <w:right w:val="nil"/>
                  </w:tcBorders>
                  <w:vAlign w:val="center"/>
                </w:tcPr>
                <w:p w14:paraId="2393E1CD">
                  <w:pPr>
                    <w:jc w:val="center"/>
                    <w:rPr>
                      <w:rFonts w:hint="default"/>
                      <w:color w:val="auto"/>
                      <w:szCs w:val="21"/>
                      <w:lang w:val="en-US" w:eastAsia="zh-CN"/>
                    </w:rPr>
                  </w:pPr>
                  <w:r>
                    <w:rPr>
                      <w:rFonts w:hint="eastAsia"/>
                      <w:color w:val="auto"/>
                      <w:szCs w:val="21"/>
                      <w:lang w:val="en-US" w:eastAsia="zh-CN"/>
                    </w:rPr>
                    <w:t>300</w:t>
                  </w:r>
                </w:p>
              </w:tc>
            </w:tr>
            <w:tr w14:paraId="0D6E9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031087AE">
                  <w:pPr>
                    <w:jc w:val="center"/>
                    <w:rPr>
                      <w:rFonts w:hint="default"/>
                      <w:color w:val="auto"/>
                      <w:szCs w:val="21"/>
                      <w:lang w:val="en-US" w:eastAsia="zh-CN"/>
                    </w:rPr>
                  </w:pPr>
                  <w:r>
                    <w:rPr>
                      <w:rFonts w:hint="eastAsia"/>
                      <w:color w:val="auto"/>
                      <w:szCs w:val="21"/>
                      <w:lang w:val="en-US" w:eastAsia="zh-CN"/>
                    </w:rPr>
                    <w:t>3</w:t>
                  </w:r>
                </w:p>
              </w:tc>
              <w:tc>
                <w:tcPr>
                  <w:tcW w:w="1604" w:type="pct"/>
                  <w:tcBorders>
                    <w:top w:val="single" w:color="auto" w:sz="6" w:space="0"/>
                    <w:left w:val="single" w:color="auto" w:sz="4" w:space="0"/>
                    <w:bottom w:val="single" w:color="auto" w:sz="6" w:space="0"/>
                  </w:tcBorders>
                  <w:vAlign w:val="center"/>
                </w:tcPr>
                <w:p w14:paraId="3BE2AA20">
                  <w:pPr>
                    <w:jc w:val="center"/>
                    <w:rPr>
                      <w:rFonts w:hint="default"/>
                      <w:color w:val="auto"/>
                      <w:szCs w:val="21"/>
                      <w:lang w:val="en-US" w:eastAsia="zh-CN"/>
                    </w:rPr>
                  </w:pPr>
                  <w:r>
                    <w:rPr>
                      <w:rFonts w:hint="eastAsia"/>
                      <w:color w:val="auto"/>
                      <w:szCs w:val="21"/>
                      <w:lang w:val="en-US" w:eastAsia="zh-CN"/>
                    </w:rPr>
                    <w:t>悬浮物</w:t>
                  </w:r>
                </w:p>
              </w:tc>
              <w:tc>
                <w:tcPr>
                  <w:tcW w:w="2246" w:type="pct"/>
                  <w:tcBorders>
                    <w:top w:val="single" w:color="auto" w:sz="6" w:space="0"/>
                    <w:bottom w:val="single" w:color="auto" w:sz="6" w:space="0"/>
                    <w:right w:val="nil"/>
                  </w:tcBorders>
                  <w:vAlign w:val="center"/>
                </w:tcPr>
                <w:p w14:paraId="207F45BD">
                  <w:pPr>
                    <w:jc w:val="center"/>
                    <w:rPr>
                      <w:rFonts w:hint="default"/>
                      <w:color w:val="auto"/>
                      <w:szCs w:val="21"/>
                      <w:lang w:val="en-US" w:eastAsia="zh-CN"/>
                    </w:rPr>
                  </w:pPr>
                  <w:r>
                    <w:rPr>
                      <w:rFonts w:hint="eastAsia"/>
                      <w:color w:val="auto"/>
                      <w:szCs w:val="21"/>
                      <w:lang w:val="en-US" w:eastAsia="zh-CN"/>
                    </w:rPr>
                    <w:t>400</w:t>
                  </w:r>
                </w:p>
              </w:tc>
            </w:tr>
            <w:tr w14:paraId="77CD9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205FF54A">
                  <w:pPr>
                    <w:jc w:val="center"/>
                    <w:rPr>
                      <w:rFonts w:hint="default"/>
                      <w:color w:val="auto"/>
                      <w:szCs w:val="21"/>
                      <w:lang w:val="en-US" w:eastAsia="zh-CN"/>
                    </w:rPr>
                  </w:pPr>
                  <w:r>
                    <w:rPr>
                      <w:rFonts w:hint="eastAsia"/>
                      <w:color w:val="auto"/>
                      <w:szCs w:val="21"/>
                      <w:lang w:val="en-US" w:eastAsia="zh-CN"/>
                    </w:rPr>
                    <w:t>4</w:t>
                  </w:r>
                </w:p>
              </w:tc>
              <w:tc>
                <w:tcPr>
                  <w:tcW w:w="1604" w:type="pct"/>
                  <w:tcBorders>
                    <w:top w:val="single" w:color="auto" w:sz="6" w:space="0"/>
                    <w:left w:val="single" w:color="auto" w:sz="4" w:space="0"/>
                    <w:bottom w:val="single" w:color="auto" w:sz="6" w:space="0"/>
                  </w:tcBorders>
                  <w:vAlign w:val="center"/>
                </w:tcPr>
                <w:p w14:paraId="2A6DB60C">
                  <w:pPr>
                    <w:jc w:val="center"/>
                    <w:rPr>
                      <w:rFonts w:hint="default"/>
                      <w:color w:val="auto"/>
                      <w:szCs w:val="21"/>
                      <w:lang w:val="en-US" w:eastAsia="zh-CN"/>
                    </w:rPr>
                  </w:pPr>
                  <w:r>
                    <w:rPr>
                      <w:rFonts w:hint="eastAsia"/>
                      <w:color w:val="auto"/>
                      <w:szCs w:val="21"/>
                      <w:lang w:val="en-US" w:eastAsia="zh-CN"/>
                    </w:rPr>
                    <w:t>动植物油</w:t>
                  </w:r>
                </w:p>
              </w:tc>
              <w:tc>
                <w:tcPr>
                  <w:tcW w:w="2246" w:type="pct"/>
                  <w:tcBorders>
                    <w:top w:val="single" w:color="auto" w:sz="6" w:space="0"/>
                    <w:bottom w:val="single" w:color="auto" w:sz="6" w:space="0"/>
                    <w:right w:val="nil"/>
                  </w:tcBorders>
                  <w:vAlign w:val="center"/>
                </w:tcPr>
                <w:p w14:paraId="6BCCD691">
                  <w:pPr>
                    <w:jc w:val="center"/>
                    <w:rPr>
                      <w:rFonts w:hint="default"/>
                      <w:color w:val="auto"/>
                      <w:szCs w:val="21"/>
                      <w:lang w:val="en-US" w:eastAsia="zh-CN"/>
                    </w:rPr>
                  </w:pPr>
                  <w:r>
                    <w:rPr>
                      <w:rFonts w:hint="eastAsia"/>
                      <w:color w:val="auto"/>
                      <w:szCs w:val="21"/>
                      <w:lang w:val="en-US" w:eastAsia="zh-CN"/>
                    </w:rPr>
                    <w:t>100</w:t>
                  </w:r>
                </w:p>
              </w:tc>
            </w:tr>
            <w:tr w14:paraId="4A5A3D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2E7454A8">
                  <w:pPr>
                    <w:jc w:val="center"/>
                    <w:rPr>
                      <w:rFonts w:hint="default"/>
                      <w:color w:val="auto"/>
                      <w:szCs w:val="21"/>
                      <w:lang w:val="en-US" w:eastAsia="zh-CN"/>
                    </w:rPr>
                  </w:pPr>
                  <w:r>
                    <w:rPr>
                      <w:rFonts w:hint="eastAsia"/>
                      <w:color w:val="auto"/>
                      <w:szCs w:val="21"/>
                      <w:lang w:val="en-US" w:eastAsia="zh-CN"/>
                    </w:rPr>
                    <w:t>5</w:t>
                  </w:r>
                </w:p>
              </w:tc>
              <w:tc>
                <w:tcPr>
                  <w:tcW w:w="1604" w:type="pct"/>
                  <w:tcBorders>
                    <w:top w:val="single" w:color="auto" w:sz="6" w:space="0"/>
                    <w:left w:val="single" w:color="auto" w:sz="4" w:space="0"/>
                    <w:bottom w:val="single" w:color="auto" w:sz="6" w:space="0"/>
                  </w:tcBorders>
                  <w:vAlign w:val="center"/>
                </w:tcPr>
                <w:p w14:paraId="50DFB909">
                  <w:pPr>
                    <w:jc w:val="center"/>
                    <w:rPr>
                      <w:rFonts w:hint="default"/>
                      <w:color w:val="auto"/>
                      <w:szCs w:val="21"/>
                      <w:lang w:val="en-US" w:eastAsia="zh-CN"/>
                    </w:rPr>
                  </w:pPr>
                  <w:r>
                    <w:rPr>
                      <w:rFonts w:hint="eastAsia"/>
                      <w:color w:val="auto"/>
                      <w:szCs w:val="21"/>
                      <w:lang w:val="en-US" w:eastAsia="zh-CN"/>
                    </w:rPr>
                    <w:t>石油类</w:t>
                  </w:r>
                </w:p>
              </w:tc>
              <w:tc>
                <w:tcPr>
                  <w:tcW w:w="2246" w:type="pct"/>
                  <w:tcBorders>
                    <w:top w:val="single" w:color="auto" w:sz="6" w:space="0"/>
                    <w:bottom w:val="single" w:color="auto" w:sz="6" w:space="0"/>
                    <w:right w:val="nil"/>
                  </w:tcBorders>
                  <w:vAlign w:val="center"/>
                </w:tcPr>
                <w:p w14:paraId="17E2621E">
                  <w:pPr>
                    <w:jc w:val="center"/>
                    <w:rPr>
                      <w:rFonts w:hint="default"/>
                      <w:color w:val="auto"/>
                      <w:szCs w:val="21"/>
                      <w:lang w:val="en-US" w:eastAsia="zh-CN"/>
                    </w:rPr>
                  </w:pPr>
                  <w:r>
                    <w:rPr>
                      <w:rFonts w:hint="eastAsia"/>
                      <w:color w:val="auto"/>
                      <w:szCs w:val="21"/>
                      <w:lang w:val="en-US" w:eastAsia="zh-CN"/>
                    </w:rPr>
                    <w:t>20</w:t>
                  </w:r>
                </w:p>
              </w:tc>
            </w:tr>
            <w:tr w14:paraId="0D292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5539E90D">
                  <w:pPr>
                    <w:jc w:val="center"/>
                    <w:rPr>
                      <w:rFonts w:hint="default"/>
                      <w:color w:val="auto"/>
                      <w:szCs w:val="21"/>
                      <w:lang w:val="en-US" w:eastAsia="zh-CN"/>
                    </w:rPr>
                  </w:pPr>
                  <w:r>
                    <w:rPr>
                      <w:rFonts w:hint="eastAsia"/>
                      <w:color w:val="auto"/>
                      <w:szCs w:val="21"/>
                      <w:lang w:val="en-US" w:eastAsia="zh-CN"/>
                    </w:rPr>
                    <w:t>6</w:t>
                  </w:r>
                </w:p>
              </w:tc>
              <w:tc>
                <w:tcPr>
                  <w:tcW w:w="1604" w:type="pct"/>
                  <w:tcBorders>
                    <w:top w:val="single" w:color="auto" w:sz="6" w:space="0"/>
                    <w:left w:val="single" w:color="auto" w:sz="4" w:space="0"/>
                    <w:bottom w:val="single" w:color="auto" w:sz="6" w:space="0"/>
                  </w:tcBorders>
                  <w:vAlign w:val="center"/>
                </w:tcPr>
                <w:p w14:paraId="1A7DDF7F">
                  <w:pPr>
                    <w:jc w:val="center"/>
                    <w:rPr>
                      <w:rFonts w:hint="default"/>
                      <w:color w:val="auto"/>
                      <w:szCs w:val="21"/>
                      <w:lang w:val="en-US" w:eastAsia="zh-CN"/>
                    </w:rPr>
                  </w:pPr>
                  <w:r>
                    <w:rPr>
                      <w:rFonts w:hint="eastAsia"/>
                      <w:color w:val="auto"/>
                      <w:szCs w:val="21"/>
                      <w:lang w:val="en-US" w:eastAsia="zh-CN"/>
                    </w:rPr>
                    <w:t>氨氮</w:t>
                  </w:r>
                </w:p>
              </w:tc>
              <w:tc>
                <w:tcPr>
                  <w:tcW w:w="2246" w:type="pct"/>
                  <w:tcBorders>
                    <w:top w:val="single" w:color="auto" w:sz="6" w:space="0"/>
                    <w:bottom w:val="single" w:color="auto" w:sz="6" w:space="0"/>
                    <w:right w:val="nil"/>
                  </w:tcBorders>
                  <w:vAlign w:val="center"/>
                </w:tcPr>
                <w:p w14:paraId="6B05C309">
                  <w:pPr>
                    <w:jc w:val="center"/>
                    <w:rPr>
                      <w:rFonts w:hint="default"/>
                      <w:color w:val="auto"/>
                      <w:szCs w:val="21"/>
                      <w:lang w:val="en-US" w:eastAsia="zh-CN"/>
                    </w:rPr>
                  </w:pPr>
                  <w:r>
                    <w:rPr>
                      <w:rFonts w:hint="eastAsia"/>
                      <w:color w:val="auto"/>
                      <w:szCs w:val="21"/>
                      <w:lang w:val="en-US" w:eastAsia="zh-CN"/>
                    </w:rPr>
                    <w:t>/</w:t>
                  </w:r>
                </w:p>
              </w:tc>
            </w:tr>
            <w:tr w14:paraId="5EDEF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6FFE57BA">
                  <w:pPr>
                    <w:jc w:val="center"/>
                    <w:rPr>
                      <w:rFonts w:hint="default"/>
                      <w:color w:val="auto"/>
                      <w:szCs w:val="21"/>
                      <w:lang w:val="en-US" w:eastAsia="zh-CN"/>
                    </w:rPr>
                  </w:pPr>
                  <w:r>
                    <w:rPr>
                      <w:rFonts w:hint="eastAsia"/>
                      <w:color w:val="auto"/>
                      <w:szCs w:val="21"/>
                      <w:lang w:val="en-US" w:eastAsia="zh-CN"/>
                    </w:rPr>
                    <w:t>7</w:t>
                  </w:r>
                </w:p>
              </w:tc>
              <w:tc>
                <w:tcPr>
                  <w:tcW w:w="1604" w:type="pct"/>
                  <w:tcBorders>
                    <w:top w:val="single" w:color="auto" w:sz="6" w:space="0"/>
                    <w:left w:val="single" w:color="auto" w:sz="4" w:space="0"/>
                    <w:bottom w:val="single" w:color="auto" w:sz="6" w:space="0"/>
                  </w:tcBorders>
                  <w:vAlign w:val="center"/>
                </w:tcPr>
                <w:p w14:paraId="08A26515">
                  <w:pPr>
                    <w:jc w:val="center"/>
                    <w:rPr>
                      <w:rFonts w:hint="default"/>
                      <w:color w:val="auto"/>
                      <w:szCs w:val="21"/>
                      <w:lang w:val="en-US" w:eastAsia="zh-CN"/>
                    </w:rPr>
                  </w:pPr>
                  <w:r>
                    <w:rPr>
                      <w:rFonts w:hint="eastAsia"/>
                      <w:color w:val="auto"/>
                      <w:szCs w:val="21"/>
                      <w:lang w:val="en-US" w:eastAsia="zh-CN"/>
                    </w:rPr>
                    <w:t>磷酸盐（以P计）</w:t>
                  </w:r>
                </w:p>
              </w:tc>
              <w:tc>
                <w:tcPr>
                  <w:tcW w:w="2246" w:type="pct"/>
                  <w:tcBorders>
                    <w:top w:val="single" w:color="auto" w:sz="6" w:space="0"/>
                    <w:bottom w:val="single" w:color="auto" w:sz="6" w:space="0"/>
                    <w:right w:val="nil"/>
                  </w:tcBorders>
                  <w:vAlign w:val="center"/>
                </w:tcPr>
                <w:p w14:paraId="194368C8">
                  <w:pPr>
                    <w:jc w:val="center"/>
                    <w:rPr>
                      <w:rFonts w:hint="default"/>
                      <w:color w:val="auto"/>
                      <w:szCs w:val="21"/>
                      <w:lang w:val="en-US" w:eastAsia="zh-CN"/>
                    </w:rPr>
                  </w:pPr>
                  <w:r>
                    <w:rPr>
                      <w:rFonts w:hint="eastAsia"/>
                      <w:color w:val="auto"/>
                      <w:szCs w:val="21"/>
                      <w:lang w:val="en-US" w:eastAsia="zh-CN"/>
                    </w:rPr>
                    <w:t>/</w:t>
                  </w:r>
                </w:p>
              </w:tc>
            </w:tr>
            <w:tr w14:paraId="51EF42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12" w:space="0"/>
                    <w:right w:val="single" w:color="auto" w:sz="4" w:space="0"/>
                  </w:tcBorders>
                  <w:vAlign w:val="center"/>
                </w:tcPr>
                <w:p w14:paraId="4231275D">
                  <w:pPr>
                    <w:jc w:val="center"/>
                    <w:rPr>
                      <w:rFonts w:hint="default"/>
                      <w:color w:val="auto"/>
                      <w:szCs w:val="21"/>
                      <w:lang w:val="en-US" w:eastAsia="zh-CN"/>
                    </w:rPr>
                  </w:pPr>
                  <w:r>
                    <w:rPr>
                      <w:rFonts w:hint="eastAsia"/>
                      <w:color w:val="auto"/>
                      <w:szCs w:val="21"/>
                      <w:lang w:val="en-US" w:eastAsia="zh-CN"/>
                    </w:rPr>
                    <w:t>8</w:t>
                  </w:r>
                </w:p>
              </w:tc>
              <w:tc>
                <w:tcPr>
                  <w:tcW w:w="1604" w:type="pct"/>
                  <w:tcBorders>
                    <w:top w:val="single" w:color="auto" w:sz="6" w:space="0"/>
                    <w:left w:val="single" w:color="auto" w:sz="4" w:space="0"/>
                    <w:bottom w:val="single" w:color="auto" w:sz="12" w:space="0"/>
                  </w:tcBorders>
                  <w:vAlign w:val="center"/>
                </w:tcPr>
                <w:p w14:paraId="55B85295">
                  <w:pPr>
                    <w:jc w:val="center"/>
                    <w:rPr>
                      <w:rFonts w:hint="default"/>
                      <w:color w:val="auto"/>
                      <w:szCs w:val="21"/>
                      <w:lang w:val="en-US" w:eastAsia="zh-CN"/>
                    </w:rPr>
                  </w:pPr>
                  <w:r>
                    <w:rPr>
                      <w:rFonts w:hint="eastAsia"/>
                      <w:color w:val="auto"/>
                      <w:szCs w:val="21"/>
                      <w:lang w:val="en-US" w:eastAsia="zh-CN"/>
                    </w:rPr>
                    <w:t>pH（无量纲）</w:t>
                  </w:r>
                </w:p>
              </w:tc>
              <w:tc>
                <w:tcPr>
                  <w:tcW w:w="2246" w:type="pct"/>
                  <w:tcBorders>
                    <w:top w:val="single" w:color="auto" w:sz="6" w:space="0"/>
                    <w:bottom w:val="single" w:color="auto" w:sz="12" w:space="0"/>
                    <w:right w:val="nil"/>
                  </w:tcBorders>
                  <w:vAlign w:val="center"/>
                </w:tcPr>
                <w:p w14:paraId="116A3760">
                  <w:pPr>
                    <w:jc w:val="center"/>
                    <w:rPr>
                      <w:rFonts w:hint="default"/>
                      <w:color w:val="auto"/>
                      <w:szCs w:val="21"/>
                      <w:lang w:val="en-US" w:eastAsia="zh-CN"/>
                    </w:rPr>
                  </w:pPr>
                  <w:r>
                    <w:rPr>
                      <w:rFonts w:hint="eastAsia"/>
                      <w:color w:val="auto"/>
                      <w:szCs w:val="21"/>
                      <w:lang w:val="en-US" w:eastAsia="zh-CN"/>
                    </w:rPr>
                    <w:t>6-9</w:t>
                  </w:r>
                </w:p>
              </w:tc>
            </w:tr>
          </w:tbl>
          <w:p w14:paraId="67FB25E0">
            <w:pPr>
              <w:tabs>
                <w:tab w:val="left" w:pos="2760"/>
              </w:tabs>
              <w:autoSpaceDE w:val="0"/>
              <w:autoSpaceDN w:val="0"/>
              <w:adjustRightInd w:val="0"/>
              <w:jc w:val="center"/>
              <w:rPr>
                <w:rFonts w:hint="default" w:eastAsia="宋体"/>
                <w:b/>
                <w:bCs/>
                <w:color w:val="auto"/>
                <w:sz w:val="24"/>
                <w:lang w:val="en-US" w:eastAsia="zh-CN"/>
              </w:rPr>
            </w:pPr>
            <w:r>
              <w:rPr>
                <w:rFonts w:hint="eastAsia"/>
                <w:b/>
                <w:bCs/>
                <w:color w:val="auto"/>
                <w:sz w:val="24"/>
              </w:rPr>
              <w:t>表3-</w:t>
            </w:r>
            <w:r>
              <w:rPr>
                <w:rFonts w:hint="eastAsia"/>
                <w:b/>
                <w:bCs/>
                <w:color w:val="auto"/>
                <w:sz w:val="24"/>
                <w:lang w:val="en-US" w:eastAsia="zh-CN"/>
              </w:rPr>
              <w:t>14</w:t>
            </w:r>
            <w:r>
              <w:rPr>
                <w:rFonts w:hint="eastAsia"/>
                <w:b/>
                <w:bCs/>
                <w:color w:val="auto"/>
                <w:sz w:val="24"/>
              </w:rPr>
              <w:t xml:space="preserve">    </w:t>
            </w:r>
            <w:r>
              <w:rPr>
                <w:rFonts w:hint="eastAsia"/>
                <w:b/>
                <w:bCs/>
                <w:color w:val="auto"/>
                <w:sz w:val="24"/>
                <w:lang w:val="en-US" w:eastAsia="zh-CN"/>
              </w:rPr>
              <w:t>污水排入城镇下水道水质控制项目限值  单位：mg/L</w:t>
            </w:r>
          </w:p>
          <w:tbl>
            <w:tblPr>
              <w:tblStyle w:val="28"/>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3"/>
              <w:gridCol w:w="2670"/>
              <w:gridCol w:w="3737"/>
            </w:tblGrid>
            <w:tr w14:paraId="203794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12" w:space="0"/>
                    <w:left w:val="nil"/>
                    <w:bottom w:val="single" w:color="auto" w:sz="6" w:space="0"/>
                    <w:right w:val="single" w:color="auto" w:sz="4" w:space="0"/>
                  </w:tcBorders>
                  <w:vAlign w:val="center"/>
                </w:tcPr>
                <w:p w14:paraId="1EA9E742">
                  <w:pPr>
                    <w:jc w:val="center"/>
                    <w:rPr>
                      <w:rFonts w:hint="default"/>
                      <w:color w:val="auto"/>
                      <w:szCs w:val="21"/>
                      <w:lang w:val="en-US" w:eastAsia="zh-CN"/>
                    </w:rPr>
                  </w:pPr>
                  <w:r>
                    <w:rPr>
                      <w:rFonts w:hint="eastAsia"/>
                      <w:color w:val="auto"/>
                      <w:szCs w:val="21"/>
                      <w:lang w:val="en-US" w:eastAsia="zh-CN"/>
                    </w:rPr>
                    <w:t>序号</w:t>
                  </w:r>
                </w:p>
              </w:tc>
              <w:tc>
                <w:tcPr>
                  <w:tcW w:w="1604" w:type="pct"/>
                  <w:tcBorders>
                    <w:top w:val="single" w:color="auto" w:sz="12" w:space="0"/>
                    <w:left w:val="single" w:color="auto" w:sz="4" w:space="0"/>
                    <w:bottom w:val="single" w:color="auto" w:sz="6" w:space="0"/>
                  </w:tcBorders>
                  <w:vAlign w:val="center"/>
                </w:tcPr>
                <w:p w14:paraId="67B300F7">
                  <w:pPr>
                    <w:jc w:val="center"/>
                    <w:rPr>
                      <w:rFonts w:hint="default"/>
                      <w:color w:val="auto"/>
                      <w:szCs w:val="21"/>
                      <w:lang w:val="en-US" w:eastAsia="zh-CN"/>
                    </w:rPr>
                  </w:pPr>
                  <w:r>
                    <w:rPr>
                      <w:rFonts w:hint="eastAsia"/>
                      <w:color w:val="auto"/>
                      <w:szCs w:val="21"/>
                      <w:lang w:val="en-US" w:eastAsia="zh-CN"/>
                    </w:rPr>
                    <w:t>污染物或项目名称</w:t>
                  </w:r>
                </w:p>
              </w:tc>
              <w:tc>
                <w:tcPr>
                  <w:tcW w:w="2245" w:type="pct"/>
                  <w:tcBorders>
                    <w:top w:val="single" w:color="auto" w:sz="12" w:space="0"/>
                    <w:bottom w:val="single" w:color="auto" w:sz="6" w:space="0"/>
                    <w:right w:val="nil"/>
                  </w:tcBorders>
                  <w:vAlign w:val="center"/>
                </w:tcPr>
                <w:p w14:paraId="09A3BD5A">
                  <w:pPr>
                    <w:jc w:val="center"/>
                    <w:rPr>
                      <w:rFonts w:hint="default"/>
                      <w:color w:val="auto"/>
                      <w:szCs w:val="21"/>
                      <w:lang w:val="en-US" w:eastAsia="zh-CN"/>
                    </w:rPr>
                  </w:pPr>
                  <w:r>
                    <w:rPr>
                      <w:rFonts w:hint="eastAsia"/>
                      <w:color w:val="auto"/>
                      <w:szCs w:val="21"/>
                      <w:lang w:val="en-US" w:eastAsia="zh-CN"/>
                    </w:rPr>
                    <w:t>排放限值</w:t>
                  </w:r>
                </w:p>
              </w:tc>
            </w:tr>
            <w:tr w14:paraId="3F9F4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37931224">
                  <w:pPr>
                    <w:jc w:val="center"/>
                    <w:rPr>
                      <w:rFonts w:hint="default"/>
                      <w:color w:val="auto"/>
                      <w:szCs w:val="21"/>
                      <w:lang w:val="en-US" w:eastAsia="zh-CN"/>
                    </w:rPr>
                  </w:pPr>
                  <w:r>
                    <w:rPr>
                      <w:rFonts w:hint="eastAsia"/>
                      <w:color w:val="auto"/>
                      <w:szCs w:val="21"/>
                      <w:lang w:val="en-US" w:eastAsia="zh-CN"/>
                    </w:rPr>
                    <w:t>1</w:t>
                  </w:r>
                </w:p>
              </w:tc>
              <w:tc>
                <w:tcPr>
                  <w:tcW w:w="1604" w:type="pct"/>
                  <w:tcBorders>
                    <w:top w:val="single" w:color="auto" w:sz="6" w:space="0"/>
                    <w:left w:val="single" w:color="auto" w:sz="4" w:space="0"/>
                    <w:bottom w:val="single" w:color="auto" w:sz="6" w:space="0"/>
                  </w:tcBorders>
                  <w:vAlign w:val="center"/>
                </w:tcPr>
                <w:p w14:paraId="136BD3E5">
                  <w:pPr>
                    <w:jc w:val="center"/>
                    <w:rPr>
                      <w:rFonts w:hint="default"/>
                      <w:color w:val="auto"/>
                      <w:szCs w:val="21"/>
                      <w:lang w:val="en-US" w:eastAsia="zh-CN"/>
                    </w:rPr>
                  </w:pPr>
                  <w:r>
                    <w:rPr>
                      <w:rFonts w:hint="eastAsia"/>
                      <w:color w:val="auto"/>
                      <w:szCs w:val="21"/>
                      <w:lang w:val="en-US" w:eastAsia="zh-CN"/>
                    </w:rPr>
                    <w:t>化学需氧量</w:t>
                  </w:r>
                </w:p>
              </w:tc>
              <w:tc>
                <w:tcPr>
                  <w:tcW w:w="2245" w:type="pct"/>
                  <w:tcBorders>
                    <w:top w:val="single" w:color="auto" w:sz="6" w:space="0"/>
                    <w:bottom w:val="single" w:color="auto" w:sz="6" w:space="0"/>
                    <w:right w:val="nil"/>
                  </w:tcBorders>
                  <w:vAlign w:val="center"/>
                </w:tcPr>
                <w:p w14:paraId="1A67F704">
                  <w:pPr>
                    <w:jc w:val="center"/>
                    <w:rPr>
                      <w:rFonts w:hint="default"/>
                      <w:color w:val="auto"/>
                      <w:szCs w:val="21"/>
                      <w:lang w:val="en-US" w:eastAsia="zh-CN"/>
                    </w:rPr>
                  </w:pPr>
                  <w:r>
                    <w:rPr>
                      <w:rFonts w:hint="eastAsia"/>
                      <w:color w:val="auto"/>
                      <w:szCs w:val="21"/>
                      <w:lang w:val="en-US" w:eastAsia="zh-CN"/>
                    </w:rPr>
                    <w:t>500</w:t>
                  </w:r>
                </w:p>
              </w:tc>
            </w:tr>
            <w:tr w14:paraId="5F6F4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4718BE18">
                  <w:pPr>
                    <w:jc w:val="center"/>
                    <w:rPr>
                      <w:rFonts w:hint="default"/>
                      <w:color w:val="auto"/>
                      <w:szCs w:val="21"/>
                      <w:lang w:val="en-US" w:eastAsia="zh-CN"/>
                    </w:rPr>
                  </w:pPr>
                  <w:r>
                    <w:rPr>
                      <w:rFonts w:hint="eastAsia"/>
                      <w:color w:val="auto"/>
                      <w:szCs w:val="21"/>
                      <w:lang w:val="en-US" w:eastAsia="zh-CN"/>
                    </w:rPr>
                    <w:t>2</w:t>
                  </w:r>
                </w:p>
              </w:tc>
              <w:tc>
                <w:tcPr>
                  <w:tcW w:w="1604" w:type="pct"/>
                  <w:tcBorders>
                    <w:top w:val="single" w:color="auto" w:sz="6" w:space="0"/>
                    <w:left w:val="single" w:color="auto" w:sz="4" w:space="0"/>
                    <w:bottom w:val="single" w:color="auto" w:sz="6" w:space="0"/>
                  </w:tcBorders>
                  <w:vAlign w:val="center"/>
                </w:tcPr>
                <w:p w14:paraId="718C2E49">
                  <w:pPr>
                    <w:jc w:val="center"/>
                    <w:rPr>
                      <w:rFonts w:hint="default"/>
                      <w:color w:val="auto"/>
                      <w:szCs w:val="21"/>
                      <w:lang w:val="en-US" w:eastAsia="zh-CN"/>
                    </w:rPr>
                  </w:pPr>
                  <w:r>
                    <w:rPr>
                      <w:rFonts w:hint="eastAsia"/>
                      <w:color w:val="auto"/>
                      <w:szCs w:val="21"/>
                      <w:lang w:val="en-US" w:eastAsia="zh-CN"/>
                    </w:rPr>
                    <w:t>五日生化需氧量</w:t>
                  </w:r>
                </w:p>
              </w:tc>
              <w:tc>
                <w:tcPr>
                  <w:tcW w:w="2245" w:type="pct"/>
                  <w:tcBorders>
                    <w:top w:val="single" w:color="auto" w:sz="6" w:space="0"/>
                    <w:bottom w:val="single" w:color="auto" w:sz="6" w:space="0"/>
                    <w:right w:val="nil"/>
                  </w:tcBorders>
                  <w:vAlign w:val="center"/>
                </w:tcPr>
                <w:p w14:paraId="5144BCF8">
                  <w:pPr>
                    <w:jc w:val="center"/>
                    <w:rPr>
                      <w:rFonts w:hint="default"/>
                      <w:color w:val="auto"/>
                      <w:szCs w:val="21"/>
                      <w:lang w:val="en-US" w:eastAsia="zh-CN"/>
                    </w:rPr>
                  </w:pPr>
                  <w:r>
                    <w:rPr>
                      <w:rFonts w:hint="eastAsia"/>
                      <w:color w:val="auto"/>
                      <w:szCs w:val="21"/>
                      <w:lang w:val="en-US" w:eastAsia="zh-CN"/>
                    </w:rPr>
                    <w:t>350</w:t>
                  </w:r>
                </w:p>
              </w:tc>
            </w:tr>
            <w:tr w14:paraId="168BC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3494694D">
                  <w:pPr>
                    <w:jc w:val="center"/>
                    <w:rPr>
                      <w:rFonts w:hint="default"/>
                      <w:color w:val="auto"/>
                      <w:szCs w:val="21"/>
                      <w:lang w:val="en-US" w:eastAsia="zh-CN"/>
                    </w:rPr>
                  </w:pPr>
                  <w:r>
                    <w:rPr>
                      <w:rFonts w:hint="eastAsia"/>
                      <w:color w:val="auto"/>
                      <w:szCs w:val="21"/>
                      <w:lang w:val="en-US" w:eastAsia="zh-CN"/>
                    </w:rPr>
                    <w:t>3</w:t>
                  </w:r>
                </w:p>
              </w:tc>
              <w:tc>
                <w:tcPr>
                  <w:tcW w:w="1604" w:type="pct"/>
                  <w:tcBorders>
                    <w:top w:val="single" w:color="auto" w:sz="6" w:space="0"/>
                    <w:left w:val="single" w:color="auto" w:sz="4" w:space="0"/>
                    <w:bottom w:val="single" w:color="auto" w:sz="6" w:space="0"/>
                  </w:tcBorders>
                  <w:vAlign w:val="center"/>
                </w:tcPr>
                <w:p w14:paraId="7129E815">
                  <w:pPr>
                    <w:jc w:val="center"/>
                    <w:rPr>
                      <w:rFonts w:hint="default"/>
                      <w:color w:val="auto"/>
                      <w:szCs w:val="21"/>
                      <w:lang w:val="en-US" w:eastAsia="zh-CN"/>
                    </w:rPr>
                  </w:pPr>
                  <w:r>
                    <w:rPr>
                      <w:rFonts w:hint="eastAsia"/>
                      <w:color w:val="auto"/>
                      <w:szCs w:val="21"/>
                      <w:lang w:val="en-US" w:eastAsia="zh-CN"/>
                    </w:rPr>
                    <w:t>悬浮物</w:t>
                  </w:r>
                </w:p>
              </w:tc>
              <w:tc>
                <w:tcPr>
                  <w:tcW w:w="2245" w:type="pct"/>
                  <w:tcBorders>
                    <w:top w:val="single" w:color="auto" w:sz="6" w:space="0"/>
                    <w:bottom w:val="single" w:color="auto" w:sz="6" w:space="0"/>
                    <w:right w:val="nil"/>
                  </w:tcBorders>
                  <w:vAlign w:val="center"/>
                </w:tcPr>
                <w:p w14:paraId="2D27C8F0">
                  <w:pPr>
                    <w:jc w:val="center"/>
                    <w:rPr>
                      <w:rFonts w:hint="default"/>
                      <w:color w:val="auto"/>
                      <w:szCs w:val="21"/>
                      <w:lang w:val="en-US" w:eastAsia="zh-CN"/>
                    </w:rPr>
                  </w:pPr>
                  <w:r>
                    <w:rPr>
                      <w:rFonts w:hint="eastAsia"/>
                      <w:color w:val="auto"/>
                      <w:szCs w:val="21"/>
                      <w:lang w:val="en-US" w:eastAsia="zh-CN"/>
                    </w:rPr>
                    <w:t>400</w:t>
                  </w:r>
                </w:p>
              </w:tc>
            </w:tr>
            <w:tr w14:paraId="08458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29644EEC">
                  <w:pPr>
                    <w:jc w:val="center"/>
                    <w:rPr>
                      <w:rFonts w:hint="default"/>
                      <w:color w:val="auto"/>
                      <w:szCs w:val="21"/>
                      <w:lang w:val="en-US" w:eastAsia="zh-CN"/>
                    </w:rPr>
                  </w:pPr>
                  <w:r>
                    <w:rPr>
                      <w:rFonts w:hint="eastAsia"/>
                      <w:color w:val="auto"/>
                      <w:szCs w:val="21"/>
                      <w:lang w:val="en-US" w:eastAsia="zh-CN"/>
                    </w:rPr>
                    <w:t>4</w:t>
                  </w:r>
                </w:p>
              </w:tc>
              <w:tc>
                <w:tcPr>
                  <w:tcW w:w="1604" w:type="pct"/>
                  <w:tcBorders>
                    <w:top w:val="single" w:color="auto" w:sz="6" w:space="0"/>
                    <w:left w:val="single" w:color="auto" w:sz="4" w:space="0"/>
                    <w:bottom w:val="single" w:color="auto" w:sz="6" w:space="0"/>
                  </w:tcBorders>
                  <w:vAlign w:val="center"/>
                </w:tcPr>
                <w:p w14:paraId="2F902B1C">
                  <w:pPr>
                    <w:jc w:val="center"/>
                    <w:rPr>
                      <w:rFonts w:hint="default"/>
                      <w:color w:val="auto"/>
                      <w:szCs w:val="21"/>
                      <w:lang w:val="en-US" w:eastAsia="zh-CN"/>
                    </w:rPr>
                  </w:pPr>
                  <w:r>
                    <w:rPr>
                      <w:rFonts w:hint="eastAsia"/>
                      <w:color w:val="auto"/>
                      <w:szCs w:val="21"/>
                      <w:lang w:val="en-US" w:eastAsia="zh-CN"/>
                    </w:rPr>
                    <w:t>石油类</w:t>
                  </w:r>
                </w:p>
              </w:tc>
              <w:tc>
                <w:tcPr>
                  <w:tcW w:w="2245" w:type="pct"/>
                  <w:tcBorders>
                    <w:top w:val="single" w:color="auto" w:sz="6" w:space="0"/>
                    <w:bottom w:val="single" w:color="auto" w:sz="6" w:space="0"/>
                    <w:right w:val="nil"/>
                  </w:tcBorders>
                  <w:vAlign w:val="center"/>
                </w:tcPr>
                <w:p w14:paraId="65630C17">
                  <w:pPr>
                    <w:jc w:val="center"/>
                    <w:rPr>
                      <w:rFonts w:hint="default"/>
                      <w:color w:val="auto"/>
                      <w:szCs w:val="21"/>
                      <w:lang w:val="en-US" w:eastAsia="zh-CN"/>
                    </w:rPr>
                  </w:pPr>
                  <w:r>
                    <w:rPr>
                      <w:rFonts w:hint="eastAsia"/>
                      <w:color w:val="auto"/>
                      <w:szCs w:val="21"/>
                      <w:lang w:val="en-US" w:eastAsia="zh-CN"/>
                    </w:rPr>
                    <w:t>15</w:t>
                  </w:r>
                </w:p>
              </w:tc>
            </w:tr>
            <w:tr w14:paraId="0E37F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6" w:space="0"/>
                    <w:right w:val="single" w:color="auto" w:sz="4" w:space="0"/>
                  </w:tcBorders>
                  <w:vAlign w:val="center"/>
                </w:tcPr>
                <w:p w14:paraId="165B2F10">
                  <w:pPr>
                    <w:jc w:val="center"/>
                    <w:rPr>
                      <w:rFonts w:hint="default"/>
                      <w:color w:val="auto"/>
                      <w:szCs w:val="21"/>
                      <w:lang w:val="en-US" w:eastAsia="zh-CN"/>
                    </w:rPr>
                  </w:pPr>
                  <w:r>
                    <w:rPr>
                      <w:rFonts w:hint="eastAsia"/>
                      <w:color w:val="auto"/>
                      <w:szCs w:val="21"/>
                      <w:lang w:val="en-US" w:eastAsia="zh-CN"/>
                    </w:rPr>
                    <w:t>5</w:t>
                  </w:r>
                </w:p>
              </w:tc>
              <w:tc>
                <w:tcPr>
                  <w:tcW w:w="1604" w:type="pct"/>
                  <w:tcBorders>
                    <w:top w:val="single" w:color="auto" w:sz="6" w:space="0"/>
                    <w:left w:val="single" w:color="auto" w:sz="4" w:space="0"/>
                    <w:bottom w:val="single" w:color="auto" w:sz="6" w:space="0"/>
                  </w:tcBorders>
                  <w:vAlign w:val="center"/>
                </w:tcPr>
                <w:p w14:paraId="19387370">
                  <w:pPr>
                    <w:jc w:val="center"/>
                    <w:rPr>
                      <w:rFonts w:hint="default"/>
                      <w:color w:val="auto"/>
                      <w:szCs w:val="21"/>
                      <w:lang w:val="en-US" w:eastAsia="zh-CN"/>
                    </w:rPr>
                  </w:pPr>
                  <w:r>
                    <w:rPr>
                      <w:rFonts w:hint="eastAsia"/>
                      <w:color w:val="auto"/>
                      <w:szCs w:val="21"/>
                      <w:lang w:val="en-US" w:eastAsia="zh-CN"/>
                    </w:rPr>
                    <w:t>氨氮</w:t>
                  </w:r>
                </w:p>
              </w:tc>
              <w:tc>
                <w:tcPr>
                  <w:tcW w:w="2245" w:type="pct"/>
                  <w:tcBorders>
                    <w:top w:val="single" w:color="auto" w:sz="6" w:space="0"/>
                    <w:bottom w:val="single" w:color="auto" w:sz="6" w:space="0"/>
                    <w:right w:val="nil"/>
                  </w:tcBorders>
                  <w:vAlign w:val="center"/>
                </w:tcPr>
                <w:p w14:paraId="5F73212D">
                  <w:pPr>
                    <w:jc w:val="center"/>
                    <w:rPr>
                      <w:rFonts w:hint="default"/>
                      <w:color w:val="auto"/>
                      <w:szCs w:val="21"/>
                      <w:lang w:val="en-US" w:eastAsia="zh-CN"/>
                    </w:rPr>
                  </w:pPr>
                  <w:r>
                    <w:rPr>
                      <w:rFonts w:hint="eastAsia"/>
                      <w:color w:val="auto"/>
                      <w:szCs w:val="21"/>
                      <w:lang w:val="en-US" w:eastAsia="zh-CN"/>
                    </w:rPr>
                    <w:t>45</w:t>
                  </w:r>
                </w:p>
              </w:tc>
            </w:tr>
            <w:tr w14:paraId="71B0F4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50" w:type="pct"/>
                  <w:tcBorders>
                    <w:top w:val="single" w:color="auto" w:sz="6" w:space="0"/>
                    <w:left w:val="nil"/>
                    <w:bottom w:val="single" w:color="auto" w:sz="12" w:space="0"/>
                    <w:right w:val="single" w:color="auto" w:sz="4" w:space="0"/>
                  </w:tcBorders>
                  <w:vAlign w:val="center"/>
                </w:tcPr>
                <w:p w14:paraId="7D32CE28">
                  <w:pPr>
                    <w:jc w:val="center"/>
                    <w:rPr>
                      <w:rFonts w:hint="default"/>
                      <w:color w:val="auto"/>
                      <w:szCs w:val="21"/>
                      <w:lang w:val="en-US" w:eastAsia="zh-CN"/>
                    </w:rPr>
                  </w:pPr>
                  <w:r>
                    <w:rPr>
                      <w:rFonts w:hint="eastAsia"/>
                      <w:color w:val="auto"/>
                      <w:szCs w:val="21"/>
                      <w:lang w:val="en-US" w:eastAsia="zh-CN"/>
                    </w:rPr>
                    <w:t>6</w:t>
                  </w:r>
                </w:p>
              </w:tc>
              <w:tc>
                <w:tcPr>
                  <w:tcW w:w="1604" w:type="pct"/>
                  <w:tcBorders>
                    <w:top w:val="single" w:color="auto" w:sz="6" w:space="0"/>
                    <w:left w:val="single" w:color="auto" w:sz="4" w:space="0"/>
                    <w:bottom w:val="single" w:color="auto" w:sz="12" w:space="0"/>
                  </w:tcBorders>
                  <w:vAlign w:val="center"/>
                </w:tcPr>
                <w:p w14:paraId="0BC94CD7">
                  <w:pPr>
                    <w:jc w:val="center"/>
                    <w:rPr>
                      <w:rFonts w:hint="default"/>
                      <w:color w:val="auto"/>
                      <w:szCs w:val="21"/>
                      <w:lang w:val="en-US" w:eastAsia="zh-CN"/>
                    </w:rPr>
                  </w:pPr>
                  <w:r>
                    <w:rPr>
                      <w:rFonts w:hint="eastAsia"/>
                      <w:color w:val="auto"/>
                      <w:szCs w:val="21"/>
                      <w:lang w:val="en-US" w:eastAsia="zh-CN"/>
                    </w:rPr>
                    <w:t>pH（无量纲）</w:t>
                  </w:r>
                </w:p>
              </w:tc>
              <w:tc>
                <w:tcPr>
                  <w:tcW w:w="2245" w:type="pct"/>
                  <w:tcBorders>
                    <w:top w:val="single" w:color="auto" w:sz="6" w:space="0"/>
                    <w:bottom w:val="single" w:color="auto" w:sz="12" w:space="0"/>
                    <w:right w:val="nil"/>
                  </w:tcBorders>
                  <w:vAlign w:val="center"/>
                </w:tcPr>
                <w:p w14:paraId="0D6320A0">
                  <w:pPr>
                    <w:jc w:val="center"/>
                    <w:rPr>
                      <w:rFonts w:hint="default"/>
                      <w:color w:val="auto"/>
                      <w:szCs w:val="21"/>
                      <w:lang w:val="en-US" w:eastAsia="zh-CN"/>
                    </w:rPr>
                  </w:pPr>
                  <w:r>
                    <w:rPr>
                      <w:rFonts w:hint="eastAsia"/>
                      <w:color w:val="auto"/>
                      <w:szCs w:val="21"/>
                      <w:lang w:val="en-US" w:eastAsia="zh-CN"/>
                    </w:rPr>
                    <w:t>6.5-9.5</w:t>
                  </w:r>
                </w:p>
              </w:tc>
            </w:tr>
          </w:tbl>
          <w:p w14:paraId="4082455F">
            <w:pPr>
              <w:autoSpaceDE w:val="0"/>
              <w:autoSpaceDN w:val="0"/>
              <w:adjustRightInd w:val="0"/>
              <w:spacing w:line="360" w:lineRule="auto"/>
              <w:outlineLvl w:val="0"/>
              <w:rPr>
                <w:b/>
                <w:bCs/>
                <w:color w:val="auto"/>
                <w:kern w:val="44"/>
                <w:sz w:val="24"/>
              </w:rPr>
            </w:pPr>
            <w:r>
              <w:rPr>
                <w:rFonts w:hint="eastAsia"/>
                <w:b/>
                <w:bCs/>
                <w:color w:val="auto"/>
                <w:kern w:val="44"/>
                <w:sz w:val="24"/>
              </w:rPr>
              <w:t xml:space="preserve">3 </w:t>
            </w:r>
            <w:r>
              <w:rPr>
                <w:b/>
                <w:bCs/>
                <w:color w:val="auto"/>
                <w:kern w:val="44"/>
                <w:sz w:val="24"/>
              </w:rPr>
              <w:t>噪声</w:t>
            </w:r>
          </w:p>
          <w:p w14:paraId="2CD52F1F">
            <w:pPr>
              <w:spacing w:line="360" w:lineRule="auto"/>
              <w:ind w:firstLine="480" w:firstLineChars="200"/>
              <w:rPr>
                <w:color w:val="auto"/>
                <w:sz w:val="24"/>
                <w:szCs w:val="20"/>
              </w:rPr>
            </w:pPr>
            <w:r>
              <w:rPr>
                <w:color w:val="auto"/>
                <w:kern w:val="0"/>
                <w:sz w:val="24"/>
              </w:rPr>
              <w:t>施</w:t>
            </w:r>
            <w:r>
              <w:rPr>
                <w:color w:val="auto"/>
                <w:sz w:val="24"/>
                <w:szCs w:val="20"/>
              </w:rPr>
              <w:t>工期噪声执行《建筑施工场界环境噪声排放标准》（GB12523—2011）；</w:t>
            </w:r>
          </w:p>
          <w:p w14:paraId="30A439C6">
            <w:pPr>
              <w:ind w:firstLine="482" w:firstLineChars="200"/>
              <w:rPr>
                <w:b/>
                <w:bCs/>
                <w:color w:val="auto"/>
                <w:sz w:val="24"/>
              </w:rPr>
            </w:pPr>
            <w:r>
              <w:rPr>
                <w:b/>
                <w:bCs/>
                <w:color w:val="auto"/>
                <w:sz w:val="24"/>
              </w:rPr>
              <w:t>表</w:t>
            </w:r>
            <w:r>
              <w:rPr>
                <w:rFonts w:hint="eastAsia"/>
                <w:b/>
                <w:bCs/>
                <w:color w:val="auto"/>
                <w:sz w:val="24"/>
              </w:rPr>
              <w:t>3-</w:t>
            </w:r>
            <w:r>
              <w:rPr>
                <w:rFonts w:hint="eastAsia"/>
                <w:b/>
                <w:bCs/>
                <w:color w:val="auto"/>
                <w:sz w:val="24"/>
                <w:lang w:val="en-US" w:eastAsia="zh-CN"/>
              </w:rPr>
              <w:t>15</w:t>
            </w:r>
            <w:r>
              <w:rPr>
                <w:b/>
                <w:bCs/>
                <w:color w:val="auto"/>
                <w:sz w:val="24"/>
              </w:rPr>
              <w:t xml:space="preserve">    《建筑施工场界环境噪声排放标准》（GB12523-2011）</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68"/>
              <w:gridCol w:w="4251"/>
            </w:tblGrid>
            <w:tr w14:paraId="6C6CFD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4068" w:type="dxa"/>
                  <w:tcBorders>
                    <w:tl2br w:val="nil"/>
                    <w:tr2bl w:val="nil"/>
                  </w:tcBorders>
                  <w:vAlign w:val="center"/>
                </w:tcPr>
                <w:p w14:paraId="36949F1E">
                  <w:pPr>
                    <w:jc w:val="center"/>
                    <w:rPr>
                      <w:bCs/>
                      <w:color w:val="auto"/>
                    </w:rPr>
                  </w:pPr>
                  <w:r>
                    <w:rPr>
                      <w:bCs/>
                      <w:color w:val="auto"/>
                    </w:rPr>
                    <w:t>昼间dB(A)</w:t>
                  </w:r>
                </w:p>
              </w:tc>
              <w:tc>
                <w:tcPr>
                  <w:tcW w:w="4251" w:type="dxa"/>
                  <w:tcBorders>
                    <w:tl2br w:val="nil"/>
                    <w:tr2bl w:val="nil"/>
                  </w:tcBorders>
                  <w:vAlign w:val="center"/>
                </w:tcPr>
                <w:p w14:paraId="3B8EF81C">
                  <w:pPr>
                    <w:jc w:val="center"/>
                    <w:rPr>
                      <w:bCs/>
                      <w:color w:val="auto"/>
                    </w:rPr>
                  </w:pPr>
                  <w:r>
                    <w:rPr>
                      <w:bCs/>
                      <w:color w:val="auto"/>
                    </w:rPr>
                    <w:t>夜间dB(A)</w:t>
                  </w:r>
                </w:p>
              </w:tc>
            </w:tr>
            <w:tr w14:paraId="19DE5E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68" w:type="dxa"/>
                  <w:tcBorders>
                    <w:tl2br w:val="nil"/>
                    <w:tr2bl w:val="nil"/>
                  </w:tcBorders>
                  <w:vAlign w:val="center"/>
                </w:tcPr>
                <w:p w14:paraId="135C7704">
                  <w:pPr>
                    <w:jc w:val="center"/>
                    <w:rPr>
                      <w:bCs/>
                      <w:color w:val="auto"/>
                    </w:rPr>
                  </w:pPr>
                  <w:r>
                    <w:rPr>
                      <w:bCs/>
                      <w:color w:val="auto"/>
                    </w:rPr>
                    <w:t>70</w:t>
                  </w:r>
                </w:p>
              </w:tc>
              <w:tc>
                <w:tcPr>
                  <w:tcW w:w="4251" w:type="dxa"/>
                  <w:tcBorders>
                    <w:tl2br w:val="nil"/>
                    <w:tr2bl w:val="nil"/>
                  </w:tcBorders>
                  <w:vAlign w:val="center"/>
                </w:tcPr>
                <w:p w14:paraId="68DEB93A">
                  <w:pPr>
                    <w:jc w:val="center"/>
                    <w:rPr>
                      <w:bCs/>
                      <w:color w:val="auto"/>
                    </w:rPr>
                  </w:pPr>
                  <w:r>
                    <w:rPr>
                      <w:bCs/>
                      <w:color w:val="auto"/>
                    </w:rPr>
                    <w:t>55</w:t>
                  </w:r>
                </w:p>
              </w:tc>
            </w:tr>
          </w:tbl>
          <w:p w14:paraId="68E64BDE">
            <w:pPr>
              <w:spacing w:line="360" w:lineRule="auto"/>
              <w:ind w:firstLine="480" w:firstLineChars="200"/>
              <w:rPr>
                <w:color w:val="auto"/>
                <w:sz w:val="24"/>
                <w:szCs w:val="20"/>
              </w:rPr>
            </w:pPr>
            <w:r>
              <w:rPr>
                <w:color w:val="auto"/>
                <w:sz w:val="24"/>
                <w:szCs w:val="20"/>
              </w:rPr>
              <w:t>运营期噪声执行《工业企业厂界环境噪声排放标准》（GB12348-2008）</w:t>
            </w:r>
            <w:r>
              <w:rPr>
                <w:rFonts w:hint="eastAsia"/>
                <w:color w:val="auto"/>
                <w:sz w:val="24"/>
                <w:szCs w:val="20"/>
                <w:lang w:val="en-US" w:eastAsia="zh-CN"/>
              </w:rPr>
              <w:t>3</w:t>
            </w:r>
            <w:r>
              <w:rPr>
                <w:color w:val="auto"/>
                <w:sz w:val="24"/>
                <w:szCs w:val="20"/>
              </w:rPr>
              <w:t>类标准；</w:t>
            </w:r>
          </w:p>
          <w:p w14:paraId="4530F057">
            <w:pPr>
              <w:ind w:firstLine="482" w:firstLineChars="200"/>
              <w:rPr>
                <w:b/>
                <w:bCs/>
                <w:color w:val="auto"/>
                <w:sz w:val="24"/>
              </w:rPr>
            </w:pPr>
            <w:r>
              <w:rPr>
                <w:b/>
                <w:bCs/>
                <w:color w:val="auto"/>
                <w:sz w:val="24"/>
                <w:szCs w:val="20"/>
              </w:rPr>
              <w:t>表</w:t>
            </w:r>
            <w:r>
              <w:rPr>
                <w:rFonts w:hint="eastAsia"/>
                <w:b/>
                <w:bCs/>
                <w:color w:val="auto"/>
                <w:sz w:val="24"/>
              </w:rPr>
              <w:t>3-</w:t>
            </w:r>
            <w:r>
              <w:rPr>
                <w:rFonts w:hint="eastAsia"/>
                <w:b/>
                <w:bCs/>
                <w:color w:val="auto"/>
                <w:sz w:val="24"/>
                <w:lang w:val="en-US" w:eastAsia="zh-CN"/>
              </w:rPr>
              <w:t>16</w:t>
            </w:r>
            <w:r>
              <w:rPr>
                <w:b/>
                <w:bCs/>
                <w:color w:val="auto"/>
                <w:sz w:val="24"/>
              </w:rPr>
              <w:t xml:space="preserve">   《工业企业厂界环境噪声排放标准》（GB12348—2008）</w:t>
            </w:r>
          </w:p>
          <w:tbl>
            <w:tblPr>
              <w:tblStyle w:val="28"/>
              <w:tblW w:w="836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21"/>
              <w:gridCol w:w="1423"/>
              <w:gridCol w:w="1214"/>
              <w:gridCol w:w="1309"/>
            </w:tblGrid>
            <w:tr w14:paraId="03A5D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trPr>
              <w:tc>
                <w:tcPr>
                  <w:tcW w:w="4421" w:type="dxa"/>
                  <w:vMerge w:val="restart"/>
                  <w:vAlign w:val="center"/>
                </w:tcPr>
                <w:p w14:paraId="3A62E648">
                  <w:pPr>
                    <w:jc w:val="center"/>
                    <w:rPr>
                      <w:color w:val="auto"/>
                      <w:szCs w:val="21"/>
                    </w:rPr>
                  </w:pPr>
                  <w:r>
                    <w:rPr>
                      <w:color w:val="auto"/>
                      <w:szCs w:val="21"/>
                    </w:rPr>
                    <w:t>工业企业厂界环境噪声排放标准</w:t>
                  </w:r>
                </w:p>
              </w:tc>
              <w:tc>
                <w:tcPr>
                  <w:tcW w:w="1423" w:type="dxa"/>
                  <w:vMerge w:val="restart"/>
                  <w:vAlign w:val="center"/>
                </w:tcPr>
                <w:p w14:paraId="5936809E">
                  <w:pPr>
                    <w:jc w:val="center"/>
                    <w:rPr>
                      <w:color w:val="auto"/>
                      <w:szCs w:val="21"/>
                    </w:rPr>
                  </w:pPr>
                  <w:r>
                    <w:rPr>
                      <w:color w:val="auto"/>
                      <w:szCs w:val="21"/>
                    </w:rPr>
                    <w:t>单位[dB(A)]</w:t>
                  </w:r>
                </w:p>
              </w:tc>
              <w:tc>
                <w:tcPr>
                  <w:tcW w:w="1214" w:type="dxa"/>
                  <w:vAlign w:val="center"/>
                </w:tcPr>
                <w:p w14:paraId="0D2EAD54">
                  <w:pPr>
                    <w:jc w:val="center"/>
                    <w:rPr>
                      <w:color w:val="auto"/>
                      <w:szCs w:val="21"/>
                    </w:rPr>
                  </w:pPr>
                  <w:r>
                    <w:rPr>
                      <w:color w:val="auto"/>
                      <w:szCs w:val="21"/>
                    </w:rPr>
                    <w:t>昼间</w:t>
                  </w:r>
                </w:p>
              </w:tc>
              <w:tc>
                <w:tcPr>
                  <w:tcW w:w="1309" w:type="dxa"/>
                  <w:vAlign w:val="center"/>
                </w:tcPr>
                <w:p w14:paraId="5D5B05CC">
                  <w:pPr>
                    <w:jc w:val="center"/>
                    <w:rPr>
                      <w:color w:val="auto"/>
                      <w:szCs w:val="21"/>
                    </w:rPr>
                  </w:pPr>
                  <w:r>
                    <w:rPr>
                      <w:color w:val="auto"/>
                      <w:szCs w:val="21"/>
                    </w:rPr>
                    <w:t>夜间</w:t>
                  </w:r>
                </w:p>
              </w:tc>
            </w:tr>
            <w:tr w14:paraId="27276D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421" w:type="dxa"/>
                  <w:vMerge w:val="continue"/>
                  <w:vAlign w:val="center"/>
                </w:tcPr>
                <w:p w14:paraId="2F858859">
                  <w:pPr>
                    <w:jc w:val="center"/>
                    <w:rPr>
                      <w:color w:val="auto"/>
                    </w:rPr>
                  </w:pPr>
                </w:p>
              </w:tc>
              <w:tc>
                <w:tcPr>
                  <w:tcW w:w="1423" w:type="dxa"/>
                  <w:vMerge w:val="continue"/>
                  <w:vAlign w:val="center"/>
                </w:tcPr>
                <w:p w14:paraId="45824D30">
                  <w:pPr>
                    <w:jc w:val="center"/>
                    <w:rPr>
                      <w:color w:val="auto"/>
                    </w:rPr>
                  </w:pPr>
                </w:p>
              </w:tc>
              <w:tc>
                <w:tcPr>
                  <w:tcW w:w="1214" w:type="dxa"/>
                  <w:vAlign w:val="center"/>
                </w:tcPr>
                <w:p w14:paraId="1B9753F6">
                  <w:pPr>
                    <w:jc w:val="center"/>
                    <w:rPr>
                      <w:rFonts w:hint="default" w:eastAsia="宋体"/>
                      <w:color w:val="auto"/>
                      <w:szCs w:val="21"/>
                      <w:lang w:val="en-US" w:eastAsia="zh-CN"/>
                    </w:rPr>
                  </w:pPr>
                  <w:r>
                    <w:rPr>
                      <w:rFonts w:hint="eastAsia"/>
                      <w:color w:val="auto"/>
                      <w:szCs w:val="21"/>
                      <w:lang w:val="en-US" w:eastAsia="zh-CN"/>
                    </w:rPr>
                    <w:t>65</w:t>
                  </w:r>
                </w:p>
              </w:tc>
              <w:tc>
                <w:tcPr>
                  <w:tcW w:w="1309" w:type="dxa"/>
                  <w:vAlign w:val="center"/>
                </w:tcPr>
                <w:p w14:paraId="2F0903F7">
                  <w:pPr>
                    <w:jc w:val="center"/>
                    <w:rPr>
                      <w:rFonts w:hint="default" w:eastAsia="宋体"/>
                      <w:color w:val="auto"/>
                      <w:szCs w:val="21"/>
                      <w:lang w:val="en-US" w:eastAsia="zh-CN"/>
                    </w:rPr>
                  </w:pPr>
                  <w:r>
                    <w:rPr>
                      <w:rFonts w:hint="eastAsia"/>
                      <w:color w:val="auto"/>
                      <w:szCs w:val="21"/>
                      <w:lang w:val="en-US" w:eastAsia="zh-CN"/>
                    </w:rPr>
                    <w:t>55</w:t>
                  </w:r>
                </w:p>
              </w:tc>
            </w:tr>
          </w:tbl>
          <w:p w14:paraId="680F682C">
            <w:pPr>
              <w:autoSpaceDE w:val="0"/>
              <w:autoSpaceDN w:val="0"/>
              <w:adjustRightInd w:val="0"/>
              <w:snapToGrid w:val="0"/>
              <w:spacing w:line="360" w:lineRule="auto"/>
              <w:outlineLvl w:val="0"/>
              <w:rPr>
                <w:b/>
                <w:bCs/>
                <w:color w:val="auto"/>
                <w:kern w:val="44"/>
                <w:sz w:val="24"/>
              </w:rPr>
            </w:pPr>
            <w:r>
              <w:rPr>
                <w:rFonts w:hint="eastAsia"/>
                <w:b/>
                <w:bCs/>
                <w:color w:val="auto"/>
                <w:kern w:val="44"/>
                <w:sz w:val="24"/>
              </w:rPr>
              <w:t xml:space="preserve">4 </w:t>
            </w:r>
            <w:r>
              <w:rPr>
                <w:b/>
                <w:bCs/>
                <w:color w:val="auto"/>
                <w:kern w:val="44"/>
                <w:sz w:val="24"/>
              </w:rPr>
              <w:t>固废</w:t>
            </w:r>
          </w:p>
          <w:p w14:paraId="04DA2CFF">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both"/>
              <w:textAlignment w:val="auto"/>
              <w:rPr>
                <w:rFonts w:hint="eastAsia" w:cs="Times New Roman"/>
                <w:color w:val="auto"/>
                <w:sz w:val="24"/>
                <w:szCs w:val="24"/>
                <w:lang w:eastAsia="zh-CN"/>
              </w:rPr>
            </w:pPr>
            <w:r>
              <w:rPr>
                <w:rFonts w:hint="eastAsia" w:cs="Times New Roman"/>
                <w:color w:val="auto"/>
                <w:sz w:val="24"/>
                <w:szCs w:val="24"/>
              </w:rPr>
              <w:t>一般固体废物执行</w:t>
            </w:r>
            <w:r>
              <w:rPr>
                <w:rFonts w:cs="Times New Roman"/>
                <w:color w:val="auto"/>
                <w:sz w:val="24"/>
                <w:szCs w:val="24"/>
              </w:rPr>
              <w:t>《一般工业固体废物贮存</w:t>
            </w:r>
            <w:r>
              <w:rPr>
                <w:rFonts w:hint="eastAsia" w:cs="Times New Roman"/>
                <w:color w:val="auto"/>
                <w:sz w:val="24"/>
                <w:szCs w:val="24"/>
              </w:rPr>
              <w:t>和填埋污染控制标准</w:t>
            </w:r>
            <w:r>
              <w:rPr>
                <w:rFonts w:cs="Times New Roman"/>
                <w:color w:val="auto"/>
                <w:sz w:val="24"/>
                <w:szCs w:val="24"/>
              </w:rPr>
              <w:t>》（GB18599-20</w:t>
            </w:r>
            <w:r>
              <w:rPr>
                <w:rFonts w:hint="eastAsia" w:cs="Times New Roman"/>
                <w:color w:val="auto"/>
                <w:sz w:val="24"/>
                <w:szCs w:val="24"/>
              </w:rPr>
              <w:t>20</w:t>
            </w:r>
            <w:r>
              <w:rPr>
                <w:rFonts w:cs="Times New Roman"/>
                <w:color w:val="auto"/>
                <w:sz w:val="24"/>
                <w:szCs w:val="24"/>
              </w:rPr>
              <w:t>）</w:t>
            </w:r>
            <w:r>
              <w:rPr>
                <w:rFonts w:hint="eastAsia" w:cs="Times New Roman"/>
                <w:color w:val="auto"/>
                <w:sz w:val="24"/>
                <w:szCs w:val="24"/>
              </w:rPr>
              <w:t>中相关标准</w:t>
            </w:r>
            <w:r>
              <w:rPr>
                <w:rFonts w:hint="eastAsia" w:cs="Times New Roman"/>
                <w:color w:val="auto"/>
                <w:sz w:val="24"/>
                <w:szCs w:val="24"/>
                <w:lang w:eastAsia="zh-CN"/>
              </w:rPr>
              <w:t>；</w:t>
            </w:r>
          </w:p>
          <w:p w14:paraId="4B2A0167">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both"/>
              <w:textAlignment w:val="auto"/>
              <w:rPr>
                <w:rFonts w:hint="default" w:ascii="Times New Roman" w:hAnsi="Times New Roman" w:cs="Times New Roman"/>
                <w:color w:val="auto"/>
                <w:kern w:val="0"/>
                <w:szCs w:val="21"/>
                <w:highlight w:val="none"/>
              </w:rPr>
            </w:pPr>
            <w:r>
              <w:rPr>
                <w:rFonts w:hint="eastAsia" w:cs="Times New Roman"/>
                <w:color w:val="auto"/>
                <w:sz w:val="24"/>
                <w:szCs w:val="24"/>
                <w:lang w:val="en-US" w:eastAsia="zh-CN"/>
              </w:rPr>
              <w:t>危险废物贮存执行《危险废物贮存污染控制标准》（GB18597-2023）</w:t>
            </w:r>
            <w:r>
              <w:rPr>
                <w:rFonts w:hint="eastAsia" w:cs="Times New Roman"/>
                <w:color w:val="auto"/>
                <w:sz w:val="24"/>
                <w:szCs w:val="24"/>
              </w:rPr>
              <w:t>。</w:t>
            </w:r>
          </w:p>
        </w:tc>
      </w:tr>
      <w:tr w14:paraId="05C9FE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64" w:hRule="atLeast"/>
          <w:jc w:val="center"/>
        </w:trPr>
        <w:tc>
          <w:tcPr>
            <w:tcW w:w="720" w:type="dxa"/>
            <w:tcBorders>
              <w:tl2br w:val="nil"/>
              <w:tr2bl w:val="nil"/>
            </w:tcBorders>
            <w:noWrap w:val="0"/>
            <w:vAlign w:val="center"/>
          </w:tcPr>
          <w:p w14:paraId="617A43EA">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2D89D095">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7E737C6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指标</w:t>
            </w:r>
          </w:p>
        </w:tc>
        <w:tc>
          <w:tcPr>
            <w:tcW w:w="8569" w:type="dxa"/>
            <w:tcBorders>
              <w:tl2br w:val="nil"/>
              <w:tr2bl w:val="nil"/>
            </w:tcBorders>
            <w:noWrap w:val="0"/>
            <w:vAlign w:val="center"/>
          </w:tcPr>
          <w:p w14:paraId="6C11D26E">
            <w:pPr>
              <w:autoSpaceDE w:val="0"/>
              <w:autoSpaceDN w:val="0"/>
              <w:adjustRightInd w:val="0"/>
              <w:spacing w:line="360" w:lineRule="auto"/>
              <w:ind w:firstLine="480" w:firstLineChars="200"/>
              <w:jc w:val="both"/>
              <w:rPr>
                <w:rFonts w:hint="default" w:ascii="Times New Roman" w:hAnsi="Times New Roman" w:cs="Times New Roman"/>
                <w:color w:val="auto"/>
                <w:highlight w:val="none"/>
                <w:lang w:val="en-US" w:eastAsia="zh-CN"/>
              </w:rPr>
            </w:pPr>
            <w:r>
              <w:rPr>
                <w:rFonts w:hint="eastAsia"/>
                <w:color w:val="auto"/>
                <w:sz w:val="24"/>
                <w:lang w:val="en-US" w:eastAsia="zh-CN"/>
              </w:rPr>
              <w:t>根据本环评工程分析，本项目主要污染物为VOCs、颗粒物，需提出总量控制指标建议值，</w:t>
            </w:r>
            <w:r>
              <w:rPr>
                <w:rFonts w:hint="eastAsia"/>
                <w:color w:val="auto"/>
                <w:sz w:val="24"/>
              </w:rPr>
              <w:t>总量控制指标建议值：</w:t>
            </w:r>
            <w:r>
              <w:rPr>
                <w:rFonts w:hint="eastAsia"/>
                <w:color w:val="auto"/>
                <w:sz w:val="24"/>
                <w:lang w:val="en-US" w:eastAsia="zh-CN"/>
              </w:rPr>
              <w:t>VOCs：0.00278t/a，颗粒物0.0067t/a</w:t>
            </w:r>
            <w:r>
              <w:rPr>
                <w:rFonts w:hint="eastAsia"/>
                <w:color w:val="auto"/>
                <w:sz w:val="24"/>
              </w:rPr>
              <w:t>。</w:t>
            </w:r>
            <w:r>
              <w:rPr>
                <w:rFonts w:hint="eastAsia"/>
                <w:color w:val="auto"/>
                <w:sz w:val="24"/>
                <w:lang w:val="en-US" w:eastAsia="zh-CN"/>
              </w:rPr>
              <w:t>（环评计算值）</w:t>
            </w:r>
          </w:p>
        </w:tc>
      </w:tr>
    </w:tbl>
    <w:p w14:paraId="11A1B46E">
      <w:pPr>
        <w:pStyle w:val="24"/>
        <w:ind w:firstLine="420" w:firstLineChars="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8"/>
        <w:tblW w:w="920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88"/>
        <w:gridCol w:w="8921"/>
      </w:tblGrid>
      <w:tr w14:paraId="0B5A48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04" w:hRule="atLeast"/>
          <w:jc w:val="center"/>
        </w:trPr>
        <w:tc>
          <w:tcPr>
            <w:tcW w:w="497" w:type="dxa"/>
            <w:tcBorders>
              <w:tl2br w:val="nil"/>
              <w:tr2bl w:val="nil"/>
            </w:tcBorders>
            <w:noWrap w:val="0"/>
            <w:tcMar>
              <w:left w:w="28" w:type="dxa"/>
              <w:right w:w="28" w:type="dxa"/>
            </w:tcMar>
            <w:vAlign w:val="center"/>
          </w:tcPr>
          <w:p w14:paraId="117C7C87">
            <w:pPr>
              <w:pStyle w:val="24"/>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14:paraId="5E44C4FC">
            <w:pPr>
              <w:pStyle w:val="24"/>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14:paraId="00EADE86">
            <w:pPr>
              <w:pStyle w:val="24"/>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14:paraId="6A12BC67">
            <w:pPr>
              <w:pStyle w:val="24"/>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14:paraId="49E7F756">
            <w:pPr>
              <w:pStyle w:val="24"/>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4"/>
                <w:szCs w:val="24"/>
                <w:highlight w:val="none"/>
              </w:rPr>
              <w:t>施</w:t>
            </w:r>
          </w:p>
        </w:tc>
        <w:tc>
          <w:tcPr>
            <w:tcW w:w="8712" w:type="dxa"/>
            <w:tcBorders>
              <w:tl2br w:val="nil"/>
              <w:tr2bl w:val="nil"/>
            </w:tcBorders>
            <w:noWrap w:val="0"/>
            <w:vAlign w:val="top"/>
          </w:tcPr>
          <w:p w14:paraId="2A99E2F5">
            <w:pPr>
              <w:spacing w:line="360" w:lineRule="auto"/>
              <w:rPr>
                <w:b/>
                <w:bCs/>
                <w:color w:val="auto"/>
                <w:sz w:val="24"/>
                <w:szCs w:val="20"/>
              </w:rPr>
            </w:pPr>
            <w:r>
              <w:rPr>
                <w:b/>
                <w:bCs/>
                <w:color w:val="auto"/>
                <w:sz w:val="24"/>
                <w:szCs w:val="20"/>
              </w:rPr>
              <w:t>1 大气环境保护措施</w:t>
            </w:r>
          </w:p>
          <w:p w14:paraId="27DF3991">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本项目施工期扬尘主要来自工程施工、土方堆存、回填产生扬尘；建筑材料（水泥、沙子、砖等）的现场搬运及堆放扬尘；施工垃圾的清理及堆放扬尘；车辆运输造成的现场道路扬尘。如果不采取相应措施，任其逸散，将对项目区空气环境产生影响。为使施工过程中产生的扬尘对周围环境空气的影响降低到最小程度，根据</w:t>
            </w:r>
            <w:r>
              <w:rPr>
                <w:rFonts w:hint="eastAsia"/>
                <w:color w:val="auto"/>
                <w:sz w:val="24"/>
                <w:szCs w:val="20"/>
              </w:rPr>
              <w:t>《关于开展自治区2022年度夏秋季大气污染防治“冬病夏治”工作的通知》（新环大气函[2022]483号）</w:t>
            </w:r>
            <w:r>
              <w:rPr>
                <w:color w:val="auto"/>
                <w:sz w:val="24"/>
                <w:szCs w:val="20"/>
              </w:rPr>
              <w:t>，本项目施工期大气污染防治措施：</w:t>
            </w:r>
          </w:p>
          <w:p w14:paraId="1D50D4C9">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（1）作业场地采取围挡以减轻扬尘扩散，土方开挖采取湿法作业。</w:t>
            </w:r>
          </w:p>
          <w:p w14:paraId="190EE387">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（2）安排若干名员工定期对施工场地、施工点进行清扫、洒水以减轻扬尘的飞扬。</w:t>
            </w:r>
          </w:p>
          <w:p w14:paraId="4C5396F3">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3）运载施工材料以及施工垃圾的车辆要加盖蓬布减少散落，车辆驶出装、卸场地前用水将车箱外和轮胎冲冼干净；运输车辆行驶路线应尽量避开居民点和环境敏感点，同时控制施工运输车辆的车速小于40km/h，以减少道路二次扬尘。</w:t>
            </w:r>
          </w:p>
          <w:p w14:paraId="3CB7A316">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4）应设置1名专职环境保护管理人员，其职责是指导和管理施工现场的工程临时弃土、施工垃圾、施工材料的处置、清运、堆放，场地恢复和硬化，清除进出施工现场道路上的泥土、弃料以及车辆、轮胎上的泥土，防止二次扬尘污染。</w:t>
            </w:r>
          </w:p>
          <w:p w14:paraId="15AD5A10">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5）要求对施工工地推行绿色施工标准，确保做到周边围挡、物料堆放覆盖、土方开挖湿法作业、路面硬化、出入车辆清洗、渣土车辆密闭运输“六个百分之百”，即施工工地周边百分之百围挡、物料堆放百分之百覆盖、出入车辆百分之百冲洗、施工现场地面百分之百硬化、拆迁工地百分之百湿法作业、渣土车辆百分百密闭运输。</w:t>
            </w:r>
          </w:p>
          <w:p w14:paraId="7D12E743">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通过采取上述防尘、降尘措施，将施工期产生的扬尘对</w:t>
            </w:r>
            <w:r>
              <w:rPr>
                <w:rFonts w:hint="eastAsia"/>
                <w:color w:val="auto"/>
                <w:sz w:val="24"/>
                <w:szCs w:val="20"/>
              </w:rPr>
              <w:t>周边居民</w:t>
            </w:r>
            <w:r>
              <w:rPr>
                <w:color w:val="auto"/>
                <w:sz w:val="24"/>
                <w:szCs w:val="20"/>
              </w:rPr>
              <w:t>的影响降低到最低程度。</w:t>
            </w:r>
          </w:p>
          <w:p w14:paraId="25D1188D">
            <w:pPr>
              <w:autoSpaceDE w:val="0"/>
              <w:autoSpaceDN w:val="0"/>
              <w:adjustRightInd w:val="0"/>
              <w:spacing w:line="360" w:lineRule="auto"/>
              <w:outlineLvl w:val="0"/>
              <w:rPr>
                <w:b/>
                <w:bCs/>
                <w:color w:val="auto"/>
                <w:kern w:val="44"/>
                <w:sz w:val="24"/>
              </w:rPr>
            </w:pPr>
            <w:r>
              <w:rPr>
                <w:b/>
                <w:bCs/>
                <w:color w:val="auto"/>
                <w:kern w:val="44"/>
                <w:sz w:val="24"/>
              </w:rPr>
              <w:t>2 水环境保护措施</w:t>
            </w:r>
          </w:p>
          <w:p w14:paraId="435C93F8">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施工期施工人员不入驻施工现场，无生活污水产生，本项目施工废水污染防治措施：</w:t>
            </w:r>
          </w:p>
          <w:p w14:paraId="062E8741">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（1）施工过程中加应强对施工人员的管理和培养节水意识。</w:t>
            </w:r>
          </w:p>
          <w:p w14:paraId="670F247B">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（2）车辆及机械检修外协，不在施工现场检修及冲洗施工机械和车辆。</w:t>
            </w:r>
          </w:p>
          <w:p w14:paraId="33CDBCDE">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（3）本环评建议在施工现场空地处修建一座临时简易沉淀池，施工废水经沉淀后可用于施工现场洒水降尘，施工期结束后对沉淀池进行拆除。</w:t>
            </w:r>
          </w:p>
          <w:p w14:paraId="18077589">
            <w:pPr>
              <w:autoSpaceDE w:val="0"/>
              <w:autoSpaceDN w:val="0"/>
              <w:adjustRightInd w:val="0"/>
              <w:spacing w:line="360" w:lineRule="auto"/>
              <w:outlineLvl w:val="0"/>
              <w:rPr>
                <w:b/>
                <w:bCs/>
                <w:color w:val="auto"/>
                <w:kern w:val="44"/>
                <w:sz w:val="24"/>
              </w:rPr>
            </w:pPr>
            <w:r>
              <w:rPr>
                <w:b/>
                <w:bCs/>
                <w:color w:val="auto"/>
                <w:kern w:val="44"/>
                <w:sz w:val="24"/>
              </w:rPr>
              <w:t>3 声环境保护措施</w:t>
            </w:r>
          </w:p>
          <w:p w14:paraId="0E35D30E">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施工期的噪声主要来源于施工现场的各类机械设备和物料运输的交通噪声。施工场地噪声主要是施工机械设备噪声，物料装卸碰撞噪声及施工人员的活动噪声。物料运输的交通噪声主要是各施工阶段物料运输车辆引起的噪声。为将噪声影响降至最低，建议采用以下防治措施：</w:t>
            </w:r>
          </w:p>
          <w:p w14:paraId="1C8287FA">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（1）加强施工管理，合理安排施工作业时间，</w:t>
            </w:r>
            <w:r>
              <w:rPr>
                <w:rFonts w:hint="eastAsia"/>
                <w:color w:val="auto"/>
                <w:sz w:val="24"/>
                <w:szCs w:val="20"/>
              </w:rPr>
              <w:t>禁止夜间施工</w:t>
            </w:r>
            <w:r>
              <w:rPr>
                <w:color w:val="auto"/>
                <w:sz w:val="24"/>
                <w:szCs w:val="20"/>
              </w:rPr>
              <w:t>，如果需要必须向当地生态环境部门提出申请，批准后向社会公示；</w:t>
            </w:r>
          </w:p>
          <w:p w14:paraId="6F4B3B47">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（2）施工机械应尽可能选择在远离周边现有企业的地方，避免在同一地点安排大量动力机械设备，以免局部声级过高；</w:t>
            </w:r>
          </w:p>
          <w:p w14:paraId="7763F34B">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（3）施工前，应设置施工场地围栏，在高噪声设备周围另设置声波遮挡物</w:t>
            </w:r>
            <w:r>
              <w:rPr>
                <w:rFonts w:hint="eastAsia"/>
                <w:color w:val="auto"/>
                <w:sz w:val="24"/>
                <w:szCs w:val="20"/>
              </w:rPr>
              <w:t>；</w:t>
            </w:r>
          </w:p>
          <w:p w14:paraId="20296070">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（4）做好劳动保护工作，为在高噪声源附近操作的作业人员配备防护耳塞或耳罩。</w:t>
            </w:r>
          </w:p>
          <w:p w14:paraId="4AD68752">
            <w:pPr>
              <w:tabs>
                <w:tab w:val="left" w:pos="2760"/>
              </w:tabs>
              <w:autoSpaceDE w:val="0"/>
              <w:autoSpaceDN w:val="0"/>
              <w:adjustRightInd w:val="0"/>
              <w:spacing w:line="360" w:lineRule="auto"/>
              <w:ind w:firstLine="480" w:firstLineChars="200"/>
              <w:rPr>
                <w:rFonts w:hint="default" w:eastAsia="宋体"/>
                <w:color w:val="auto"/>
                <w:sz w:val="24"/>
                <w:szCs w:val="20"/>
                <w:lang w:val="en-US" w:eastAsia="zh-CN"/>
              </w:rPr>
            </w:pPr>
            <w:r>
              <w:rPr>
                <w:color w:val="auto"/>
                <w:sz w:val="24"/>
                <w:szCs w:val="20"/>
              </w:rPr>
              <w:t>通过上述措施之后，施工噪声满足《建筑施工场界环境噪声排放标准》（GB12523—2011）的要</w:t>
            </w:r>
            <w:r>
              <w:rPr>
                <w:color w:val="auto"/>
                <w:sz w:val="24"/>
              </w:rPr>
              <w:t>求，对周围声环境影响较小。</w:t>
            </w:r>
          </w:p>
          <w:p w14:paraId="315A809A">
            <w:pPr>
              <w:autoSpaceDE w:val="0"/>
              <w:autoSpaceDN w:val="0"/>
              <w:adjustRightInd w:val="0"/>
              <w:spacing w:line="360" w:lineRule="auto"/>
              <w:outlineLvl w:val="0"/>
              <w:rPr>
                <w:b/>
                <w:bCs/>
                <w:color w:val="auto"/>
                <w:kern w:val="44"/>
                <w:sz w:val="24"/>
              </w:rPr>
            </w:pPr>
            <w:r>
              <w:rPr>
                <w:rFonts w:hint="eastAsia"/>
                <w:b/>
                <w:bCs/>
                <w:color w:val="auto"/>
                <w:kern w:val="44"/>
                <w:sz w:val="24"/>
                <w:lang w:val="en-US" w:eastAsia="zh-CN"/>
              </w:rPr>
              <w:t>4</w:t>
            </w:r>
            <w:r>
              <w:rPr>
                <w:b/>
                <w:bCs/>
                <w:color w:val="auto"/>
                <w:kern w:val="44"/>
                <w:sz w:val="24"/>
              </w:rPr>
              <w:t xml:space="preserve"> 固体废物防治措施</w:t>
            </w:r>
          </w:p>
          <w:p w14:paraId="061E90B3">
            <w:pPr>
              <w:spacing w:line="360" w:lineRule="auto"/>
              <w:ind w:firstLine="480" w:firstLineChars="200"/>
              <w:rPr>
                <w:color w:val="auto"/>
                <w:sz w:val="24"/>
                <w:szCs w:val="20"/>
              </w:rPr>
            </w:pPr>
            <w:r>
              <w:rPr>
                <w:color w:val="auto"/>
                <w:sz w:val="24"/>
              </w:rPr>
              <w:t>施工期施工人员不</w:t>
            </w:r>
            <w:r>
              <w:rPr>
                <w:color w:val="auto"/>
                <w:sz w:val="24"/>
                <w:szCs w:val="20"/>
              </w:rPr>
              <w:t>入驻施工现场，无生活垃圾产生，本项目施工期产生的固废主要为建筑施工垃圾，施工期的建筑垃圾以无机废物为主，主要包括施工中的下脚料，如废弃的堆土、混凝土块等，同时还包括少量的有机垃圾，主要是各种包装材料，包括废旧塑料、泡沫等。这些废弃物基本上不溶解、不腐烂变质，如处理不当，会影响景观和周围环境的质量。</w:t>
            </w:r>
          </w:p>
          <w:p w14:paraId="4AB767B2">
            <w:pPr>
              <w:spacing w:line="360" w:lineRule="auto"/>
              <w:ind w:firstLine="480" w:firstLineChars="200"/>
              <w:textAlignment w:val="baseline"/>
              <w:rPr>
                <w:color w:val="auto"/>
                <w:sz w:val="24"/>
                <w:szCs w:val="20"/>
              </w:rPr>
            </w:pPr>
            <w:r>
              <w:rPr>
                <w:color w:val="auto"/>
                <w:sz w:val="24"/>
                <w:szCs w:val="20"/>
              </w:rPr>
              <w:t>防治措施：</w:t>
            </w:r>
          </w:p>
          <w:p w14:paraId="150AAF73">
            <w:pPr>
              <w:spacing w:line="360" w:lineRule="auto"/>
              <w:ind w:firstLine="480" w:firstLineChars="200"/>
              <w:textAlignment w:val="baseline"/>
              <w:rPr>
                <w:color w:val="auto"/>
                <w:sz w:val="24"/>
                <w:szCs w:val="20"/>
              </w:rPr>
            </w:pPr>
            <w:r>
              <w:rPr>
                <w:color w:val="auto"/>
                <w:sz w:val="24"/>
                <w:szCs w:val="20"/>
              </w:rPr>
              <w:t>（1）建筑垃圾中可利用部分由施工单位在施工中回收运回基地，渣土尽量在场内周转，就地用于绿化、道路等生态景观建设，必须外运的弃土以及建筑废料应运至专用的建筑垃圾堆放场</w:t>
            </w:r>
            <w:r>
              <w:rPr>
                <w:rFonts w:hint="eastAsia"/>
                <w:color w:val="auto"/>
                <w:sz w:val="24"/>
                <w:szCs w:val="20"/>
              </w:rPr>
              <w:t>。</w:t>
            </w:r>
          </w:p>
          <w:p w14:paraId="11E8B95D">
            <w:pPr>
              <w:spacing w:line="360" w:lineRule="auto"/>
              <w:ind w:firstLine="480" w:firstLineChars="200"/>
              <w:textAlignment w:val="baseline"/>
              <w:rPr>
                <w:color w:val="auto"/>
                <w:sz w:val="24"/>
                <w:szCs w:val="20"/>
              </w:rPr>
            </w:pPr>
            <w:r>
              <w:rPr>
                <w:color w:val="auto"/>
                <w:sz w:val="24"/>
                <w:szCs w:val="20"/>
              </w:rPr>
              <w:t>（2）在工程竣工以后，施工单位应拆除各种临时施工设施，并负责将工地的剩余建筑垃圾、工程渣土处理干净，做到“工完、料尽、场地清”，建设单位应负责督促施工单位的固体废物处置清理工作。</w:t>
            </w:r>
          </w:p>
          <w:p w14:paraId="0AC12195">
            <w:pPr>
              <w:spacing w:line="360" w:lineRule="auto"/>
              <w:ind w:firstLine="480" w:firstLineChars="200"/>
              <w:textAlignment w:val="baseline"/>
              <w:rPr>
                <w:rFonts w:hint="eastAsia" w:ascii="宋体" w:hAnsi="宋体" w:eastAsia="宋体" w:cs="宋体"/>
                <w:sz w:val="24"/>
                <w:szCs w:val="24"/>
                <w:lang w:eastAsia="zh-CN"/>
              </w:rPr>
            </w:pPr>
            <w:r>
              <w:rPr>
                <w:color w:val="auto"/>
                <w:sz w:val="24"/>
                <w:szCs w:val="20"/>
              </w:rPr>
              <w:t>由于施工时间短，只要加强管理，及时清运，随着施工期的结束，施工固体废物对环境的影响将随之消失，不会对环境产生长期影响。</w:t>
            </w:r>
          </w:p>
          <w:p w14:paraId="20C0DA50">
            <w:pPr>
              <w:spacing w:line="360" w:lineRule="auto"/>
              <w:textAlignment w:val="baseline"/>
              <w:rPr>
                <w:b/>
                <w:bCs/>
                <w:color w:val="auto"/>
                <w:sz w:val="24"/>
              </w:rPr>
            </w:pPr>
            <w:r>
              <w:rPr>
                <w:rFonts w:hint="eastAsia"/>
                <w:b/>
                <w:bCs/>
                <w:color w:val="auto"/>
                <w:sz w:val="24"/>
                <w:szCs w:val="20"/>
                <w:lang w:val="en-US" w:eastAsia="zh-CN"/>
              </w:rPr>
              <w:t>5</w:t>
            </w:r>
            <w:r>
              <w:rPr>
                <w:rFonts w:hint="eastAsia"/>
                <w:b/>
                <w:bCs/>
                <w:color w:val="auto"/>
                <w:sz w:val="24"/>
                <w:szCs w:val="20"/>
              </w:rPr>
              <w:t xml:space="preserve"> </w:t>
            </w:r>
            <w:r>
              <w:rPr>
                <w:b/>
                <w:bCs/>
                <w:color w:val="auto"/>
                <w:kern w:val="44"/>
                <w:sz w:val="24"/>
              </w:rPr>
              <w:t>施工期生态环境保护措施</w:t>
            </w:r>
          </w:p>
          <w:p w14:paraId="0DDBABC2">
            <w:pPr>
              <w:spacing w:line="360" w:lineRule="auto"/>
              <w:ind w:firstLine="480" w:firstLineChars="200"/>
              <w:textAlignment w:val="baseline"/>
              <w:rPr>
                <w:color w:val="auto"/>
                <w:sz w:val="24"/>
                <w:szCs w:val="20"/>
              </w:rPr>
            </w:pPr>
            <w:r>
              <w:rPr>
                <w:color w:val="auto"/>
                <w:sz w:val="24"/>
                <w:szCs w:val="20"/>
              </w:rPr>
              <w:t>施工期生态影响主要为水土流失，本项目在施工建设过程中，将对原有土壤进行扰动，造成水土流失，建筑材料、临时堆土遇大风或降水造成水土流失。这种水土流失现象尤其是在大风或强降水天气会变得更为突出。水土流失危害仅对项目建设区域影响较大，对周边环境影响甚微。</w:t>
            </w:r>
          </w:p>
          <w:p w14:paraId="7EACF159">
            <w:pPr>
              <w:spacing w:line="360" w:lineRule="auto"/>
              <w:textAlignment w:val="baseline"/>
              <w:rPr>
                <w:b/>
                <w:bCs/>
                <w:color w:val="auto"/>
                <w:sz w:val="24"/>
                <w:szCs w:val="20"/>
              </w:rPr>
            </w:pPr>
            <w:r>
              <w:rPr>
                <w:rFonts w:hint="eastAsia"/>
                <w:b/>
                <w:bCs/>
                <w:color w:val="auto"/>
                <w:sz w:val="24"/>
                <w:szCs w:val="20"/>
                <w:lang w:val="en-US" w:eastAsia="zh-CN"/>
              </w:rPr>
              <w:t>5</w:t>
            </w:r>
            <w:r>
              <w:rPr>
                <w:b/>
                <w:bCs/>
                <w:color w:val="auto"/>
                <w:sz w:val="24"/>
                <w:szCs w:val="20"/>
              </w:rPr>
              <w:t>.1</w:t>
            </w:r>
            <w:r>
              <w:rPr>
                <w:rFonts w:hint="eastAsia"/>
                <w:b/>
                <w:bCs/>
                <w:color w:val="auto"/>
                <w:sz w:val="24"/>
                <w:szCs w:val="20"/>
              </w:rPr>
              <w:t xml:space="preserve"> </w:t>
            </w:r>
            <w:r>
              <w:rPr>
                <w:b/>
                <w:bCs/>
                <w:color w:val="auto"/>
                <w:sz w:val="24"/>
                <w:szCs w:val="20"/>
              </w:rPr>
              <w:t>水土流失防治</w:t>
            </w:r>
          </w:p>
          <w:p w14:paraId="41A4CF46">
            <w:pPr>
              <w:spacing w:line="360" w:lineRule="auto"/>
              <w:ind w:firstLine="480" w:firstLineChars="200"/>
              <w:textAlignment w:val="baseline"/>
              <w:rPr>
                <w:color w:val="auto"/>
                <w:sz w:val="24"/>
                <w:szCs w:val="20"/>
              </w:rPr>
            </w:pPr>
            <w:r>
              <w:rPr>
                <w:color w:val="auto"/>
                <w:sz w:val="24"/>
                <w:szCs w:val="20"/>
              </w:rPr>
              <w:t>施工期水土流失防治要遵从“全面规划、预防为主、防治结合”的原则。为减少水土流失量，在施工中应先做好拦护，再存放土方，挖出土方应及时回填和用于绿化，尽量避免长时间、不加围栏的露天堆放。临时存放的土堆表面</w:t>
            </w:r>
            <w:r>
              <w:rPr>
                <w:rFonts w:hint="eastAsia"/>
                <w:color w:val="auto"/>
                <w:sz w:val="24"/>
                <w:szCs w:val="20"/>
              </w:rPr>
              <w:t>采取苫盖措施</w:t>
            </w:r>
            <w:r>
              <w:rPr>
                <w:color w:val="auto"/>
                <w:sz w:val="24"/>
                <w:szCs w:val="20"/>
              </w:rPr>
              <w:t>，项目有一定量的建筑垃圾需外运，运输车辆</w:t>
            </w:r>
            <w:r>
              <w:rPr>
                <w:rFonts w:hint="eastAsia"/>
                <w:color w:val="auto"/>
                <w:sz w:val="24"/>
                <w:szCs w:val="20"/>
              </w:rPr>
              <w:t>出厂</w:t>
            </w:r>
            <w:r>
              <w:rPr>
                <w:color w:val="auto"/>
                <w:sz w:val="24"/>
                <w:szCs w:val="20"/>
              </w:rPr>
              <w:t>时必须用苫布覆盖后运至专门的建筑垃圾堆放场，不得随意倾倒。</w:t>
            </w:r>
          </w:p>
          <w:p w14:paraId="00932617">
            <w:pPr>
              <w:spacing w:line="360" w:lineRule="auto"/>
              <w:textAlignment w:val="baseline"/>
              <w:rPr>
                <w:b/>
                <w:bCs/>
                <w:color w:val="auto"/>
                <w:sz w:val="24"/>
                <w:szCs w:val="20"/>
              </w:rPr>
            </w:pPr>
            <w:r>
              <w:rPr>
                <w:rFonts w:hint="eastAsia"/>
                <w:b/>
                <w:bCs/>
                <w:color w:val="auto"/>
                <w:sz w:val="24"/>
                <w:szCs w:val="20"/>
                <w:lang w:val="en-US" w:eastAsia="zh-CN"/>
              </w:rPr>
              <w:t>5</w:t>
            </w:r>
            <w:r>
              <w:rPr>
                <w:b/>
                <w:bCs/>
                <w:color w:val="auto"/>
                <w:sz w:val="24"/>
                <w:szCs w:val="20"/>
              </w:rPr>
              <w:t>.2</w:t>
            </w:r>
            <w:r>
              <w:rPr>
                <w:rFonts w:hint="eastAsia"/>
                <w:b/>
                <w:bCs/>
                <w:color w:val="auto"/>
                <w:sz w:val="24"/>
                <w:szCs w:val="20"/>
              </w:rPr>
              <w:t xml:space="preserve"> </w:t>
            </w:r>
            <w:r>
              <w:rPr>
                <w:b/>
                <w:bCs/>
                <w:color w:val="auto"/>
                <w:sz w:val="24"/>
                <w:szCs w:val="20"/>
              </w:rPr>
              <w:t>防沙、治沙</w:t>
            </w:r>
          </w:p>
          <w:p w14:paraId="40BF5F02">
            <w:pPr>
              <w:spacing w:line="360" w:lineRule="auto"/>
              <w:ind w:firstLine="480" w:firstLineChars="200"/>
              <w:textAlignment w:val="baseline"/>
              <w:rPr>
                <w:color w:val="auto"/>
                <w:sz w:val="24"/>
                <w:szCs w:val="20"/>
              </w:rPr>
            </w:pPr>
            <w:r>
              <w:rPr>
                <w:color w:val="auto"/>
                <w:sz w:val="24"/>
                <w:szCs w:val="20"/>
              </w:rPr>
              <w:t>在防沙、治沙方面，要坚持“因地制宜、因害设防、保护优先、综合治理”的原则，坚持宜乔则乔、宜灌则灌、宜草则草，采取以林草植被建设为主的综合措施，加强地表覆盖，减少尘源，主要措施如下：</w:t>
            </w:r>
          </w:p>
          <w:p w14:paraId="61CB10D1">
            <w:pPr>
              <w:spacing w:line="360" w:lineRule="auto"/>
              <w:ind w:firstLine="480" w:firstLineChars="200"/>
              <w:textAlignment w:val="baseline"/>
              <w:rPr>
                <w:color w:val="auto"/>
                <w:sz w:val="24"/>
                <w:szCs w:val="20"/>
              </w:rPr>
            </w:pPr>
            <w:r>
              <w:rPr>
                <w:color w:val="auto"/>
                <w:sz w:val="24"/>
                <w:szCs w:val="20"/>
              </w:rPr>
              <w:t>（1）采取植树种草措施，迅速恢复区域林草植被，扩大林草植被面积，提高植被盖度。</w:t>
            </w:r>
          </w:p>
          <w:p w14:paraId="3CE94317">
            <w:pPr>
              <w:spacing w:line="360" w:lineRule="auto"/>
              <w:ind w:firstLine="480" w:firstLineChars="200"/>
              <w:textAlignment w:val="baseline"/>
              <w:rPr>
                <w:color w:val="auto"/>
                <w:sz w:val="24"/>
                <w:szCs w:val="20"/>
              </w:rPr>
            </w:pPr>
            <w:r>
              <w:rPr>
                <w:color w:val="auto"/>
                <w:sz w:val="24"/>
                <w:szCs w:val="20"/>
              </w:rPr>
              <w:t>（2）采取合理的水资源管理措施，通过节水灌溉措施，促进生活、生产、生态用水的合理分配和协调利用，提高水资源的利用率。</w:t>
            </w:r>
          </w:p>
          <w:p w14:paraId="4C194C93">
            <w:pPr>
              <w:spacing w:line="360" w:lineRule="auto"/>
              <w:ind w:firstLine="480" w:firstLineChars="200"/>
              <w:textAlignment w:val="baseline"/>
              <w:rPr>
                <w:color w:val="auto"/>
                <w:sz w:val="24"/>
                <w:szCs w:val="20"/>
              </w:rPr>
            </w:pPr>
            <w:r>
              <w:rPr>
                <w:color w:val="auto"/>
                <w:sz w:val="24"/>
                <w:szCs w:val="20"/>
              </w:rPr>
              <w:t>（3）为改善土壤结构，维护和增加土壤肥力，提高林草成活率，促进树苗和草本植被旺盛生长，根据土壤营养条件、树种、林种等，按照适时、适度、适量的进行施肥。</w:t>
            </w:r>
          </w:p>
          <w:p w14:paraId="164E91D2">
            <w:pPr>
              <w:spacing w:line="360" w:lineRule="auto"/>
              <w:textAlignment w:val="baseline"/>
              <w:rPr>
                <w:b/>
                <w:bCs/>
                <w:color w:val="auto"/>
                <w:sz w:val="24"/>
                <w:szCs w:val="20"/>
              </w:rPr>
            </w:pPr>
            <w:r>
              <w:rPr>
                <w:rFonts w:hint="eastAsia"/>
                <w:b/>
                <w:bCs/>
                <w:color w:val="auto"/>
                <w:sz w:val="24"/>
                <w:szCs w:val="20"/>
                <w:lang w:val="en-US" w:eastAsia="zh-CN"/>
              </w:rPr>
              <w:t>5</w:t>
            </w:r>
            <w:r>
              <w:rPr>
                <w:b/>
                <w:bCs/>
                <w:color w:val="auto"/>
                <w:sz w:val="24"/>
                <w:szCs w:val="20"/>
              </w:rPr>
              <w:t>.</w:t>
            </w:r>
            <w:r>
              <w:rPr>
                <w:rFonts w:hint="eastAsia"/>
                <w:b/>
                <w:bCs/>
                <w:color w:val="auto"/>
                <w:sz w:val="24"/>
                <w:szCs w:val="20"/>
              </w:rPr>
              <w:t xml:space="preserve">3 </w:t>
            </w:r>
            <w:r>
              <w:rPr>
                <w:b/>
                <w:bCs/>
                <w:color w:val="auto"/>
                <w:sz w:val="24"/>
                <w:szCs w:val="20"/>
              </w:rPr>
              <w:t>植被的恢复及绿化</w:t>
            </w:r>
          </w:p>
          <w:p w14:paraId="0DC651D4">
            <w:pPr>
              <w:spacing w:line="360" w:lineRule="auto"/>
              <w:ind w:firstLine="480" w:firstLineChars="200"/>
              <w:textAlignment w:val="baseline"/>
              <w:rPr>
                <w:rFonts w:eastAsia="宋体"/>
                <w:color w:val="auto"/>
                <w:sz w:val="24"/>
                <w:szCs w:val="20"/>
                <w:lang w:val="en-US"/>
              </w:rPr>
            </w:pPr>
            <w:r>
              <w:rPr>
                <w:rFonts w:eastAsia="宋体"/>
                <w:color w:val="auto"/>
                <w:sz w:val="24"/>
                <w:szCs w:val="20"/>
                <w:lang w:val="en-US"/>
              </w:rPr>
              <w:t>恢复植被的主要方法是进行绿化，本项目要做好项目区内绿化环境的工作，尽可能绿化建筑物周边的空地。对基建施工和交通破坏的绿地，应尽快恢复绿化，以保护周围良好的生态环境状况</w:t>
            </w:r>
          </w:p>
          <w:p w14:paraId="770BC1DD">
            <w:pPr>
              <w:autoSpaceDE w:val="0"/>
              <w:autoSpaceDN w:val="0"/>
              <w:adjustRightInd w:val="0"/>
              <w:spacing w:line="360" w:lineRule="auto"/>
              <w:outlineLvl w:val="0"/>
              <w:rPr>
                <w:b/>
                <w:bCs/>
                <w:color w:val="auto"/>
                <w:kern w:val="44"/>
                <w:sz w:val="24"/>
              </w:rPr>
            </w:pPr>
            <w:r>
              <w:rPr>
                <w:rFonts w:hint="eastAsia"/>
                <w:b/>
                <w:bCs/>
                <w:color w:val="auto"/>
                <w:kern w:val="44"/>
                <w:sz w:val="24"/>
                <w:lang w:val="en-US" w:eastAsia="zh-CN"/>
              </w:rPr>
              <w:t>6</w:t>
            </w:r>
            <w:r>
              <w:rPr>
                <w:b/>
                <w:bCs/>
                <w:color w:val="auto"/>
                <w:kern w:val="44"/>
                <w:sz w:val="24"/>
              </w:rPr>
              <w:t xml:space="preserve"> </w:t>
            </w:r>
            <w:r>
              <w:rPr>
                <w:rFonts w:hint="eastAsia" w:ascii="Times New Roman" w:eastAsia="宋体"/>
                <w:b/>
                <w:bCs/>
                <w:color w:val="auto"/>
                <w:kern w:val="44"/>
                <w:sz w:val="24"/>
                <w:lang w:val="en-US" w:eastAsia="zh-CN"/>
              </w:rPr>
              <w:t>土壤</w:t>
            </w:r>
            <w:r>
              <w:rPr>
                <w:b/>
                <w:bCs/>
                <w:color w:val="auto"/>
                <w:kern w:val="44"/>
                <w:sz w:val="24"/>
              </w:rPr>
              <w:t>环境保护措施</w:t>
            </w:r>
          </w:p>
          <w:p w14:paraId="34C4D9E7">
            <w:pPr>
              <w:tabs>
                <w:tab w:val="left" w:pos="2760"/>
              </w:tabs>
              <w:autoSpaceDE w:val="0"/>
              <w:autoSpaceDN w:val="0"/>
              <w:adjustRightInd w:val="0"/>
              <w:spacing w:line="360" w:lineRule="auto"/>
              <w:ind w:firstLine="480" w:firstLineChars="200"/>
              <w:rPr>
                <w:color w:val="auto"/>
                <w:sz w:val="24"/>
                <w:szCs w:val="20"/>
              </w:rPr>
            </w:pPr>
            <w:r>
              <w:rPr>
                <w:color w:val="auto"/>
                <w:sz w:val="24"/>
                <w:szCs w:val="20"/>
              </w:rPr>
              <w:t>施工期</w:t>
            </w:r>
            <w:r>
              <w:rPr>
                <w:rFonts w:hint="eastAsia" w:ascii="Times New Roman" w:eastAsia="宋体"/>
                <w:color w:val="auto"/>
                <w:sz w:val="24"/>
                <w:szCs w:val="20"/>
                <w:lang w:val="en-US" w:eastAsia="zh-CN"/>
              </w:rPr>
              <w:t>对土壤环境</w:t>
            </w:r>
            <w:r>
              <w:rPr>
                <w:color w:val="auto"/>
                <w:sz w:val="24"/>
                <w:szCs w:val="20"/>
              </w:rPr>
              <w:t>的</w:t>
            </w:r>
            <w:r>
              <w:rPr>
                <w:rFonts w:hint="eastAsia" w:ascii="Times New Roman" w:eastAsia="宋体"/>
                <w:color w:val="auto"/>
                <w:sz w:val="24"/>
                <w:szCs w:val="20"/>
                <w:lang w:val="en-US" w:eastAsia="zh-CN"/>
              </w:rPr>
              <w:t>影响主要为施工机械油污入渗土壤和将对原有土壤进行扰动，造成水土流失。</w:t>
            </w:r>
            <w:r>
              <w:rPr>
                <w:color w:val="auto"/>
                <w:sz w:val="24"/>
                <w:szCs w:val="20"/>
              </w:rPr>
              <w:t>本项目施工</w:t>
            </w:r>
            <w:r>
              <w:rPr>
                <w:rFonts w:hint="eastAsia" w:ascii="Times New Roman" w:eastAsia="宋体"/>
                <w:color w:val="auto"/>
                <w:sz w:val="24"/>
                <w:szCs w:val="20"/>
                <w:lang w:val="en-US" w:eastAsia="zh-CN"/>
              </w:rPr>
              <w:t>土壤</w:t>
            </w:r>
            <w:r>
              <w:rPr>
                <w:color w:val="auto"/>
                <w:sz w:val="24"/>
                <w:szCs w:val="20"/>
              </w:rPr>
              <w:t>环境污染防治措施：</w:t>
            </w:r>
          </w:p>
          <w:p w14:paraId="3814E262">
            <w:pPr>
              <w:tabs>
                <w:tab w:val="left" w:pos="2760"/>
              </w:tabs>
              <w:autoSpaceDE w:val="0"/>
              <w:autoSpaceDN w:val="0"/>
              <w:adjustRightInd w:val="0"/>
              <w:spacing w:line="360" w:lineRule="auto"/>
              <w:ind w:firstLine="480" w:firstLineChars="200"/>
              <w:rPr>
                <w:rFonts w:hint="eastAsia" w:eastAsia="宋体"/>
                <w:color w:val="auto"/>
                <w:sz w:val="24"/>
                <w:szCs w:val="20"/>
                <w:lang w:val="en-US" w:eastAsia="zh-CN"/>
              </w:rPr>
            </w:pPr>
            <w:r>
              <w:rPr>
                <w:rFonts w:hint="eastAsia" w:eastAsia="宋体"/>
                <w:color w:val="auto"/>
                <w:sz w:val="24"/>
                <w:szCs w:val="20"/>
                <w:lang w:eastAsia="zh-CN"/>
              </w:rPr>
              <w:t>（</w:t>
            </w:r>
            <w:r>
              <w:rPr>
                <w:rFonts w:hint="eastAsia" w:ascii="Times New Roman" w:eastAsia="宋体"/>
                <w:color w:val="auto"/>
                <w:sz w:val="24"/>
                <w:szCs w:val="20"/>
                <w:lang w:val="en-US" w:eastAsia="zh-CN"/>
              </w:rPr>
              <w:t>1</w:t>
            </w:r>
            <w:r>
              <w:rPr>
                <w:rFonts w:hint="eastAsia" w:eastAsia="宋体"/>
                <w:color w:val="auto"/>
                <w:sz w:val="24"/>
                <w:szCs w:val="20"/>
                <w:lang w:eastAsia="zh-CN"/>
              </w:rPr>
              <w:t>）车辆及机械</w:t>
            </w:r>
            <w:r>
              <w:rPr>
                <w:rFonts w:hint="eastAsia" w:ascii="Times New Roman" w:eastAsia="宋体"/>
                <w:color w:val="auto"/>
                <w:sz w:val="24"/>
                <w:szCs w:val="20"/>
                <w:lang w:val="en-US" w:eastAsia="zh-CN"/>
              </w:rPr>
              <w:t>入场前</w:t>
            </w:r>
            <w:r>
              <w:rPr>
                <w:rFonts w:hint="eastAsia"/>
                <w:color w:val="auto"/>
                <w:sz w:val="24"/>
                <w:szCs w:val="20"/>
                <w:lang w:val="en-US" w:eastAsia="zh-CN"/>
              </w:rPr>
              <w:t>已</w:t>
            </w:r>
            <w:r>
              <w:rPr>
                <w:rFonts w:hint="eastAsia" w:ascii="Times New Roman" w:eastAsia="宋体"/>
                <w:color w:val="auto"/>
                <w:sz w:val="24"/>
                <w:szCs w:val="20"/>
                <w:lang w:val="en-US" w:eastAsia="zh-CN"/>
              </w:rPr>
              <w:t>提前检查检修，防止施工工程中机械漏油。</w:t>
            </w:r>
          </w:p>
          <w:p w14:paraId="46416851">
            <w:pPr>
              <w:tabs>
                <w:tab w:val="left" w:pos="2760"/>
              </w:tabs>
              <w:autoSpaceDE w:val="0"/>
              <w:autoSpaceDN w:val="0"/>
              <w:adjustRightInd w:val="0"/>
              <w:spacing w:line="360" w:lineRule="auto"/>
              <w:ind w:firstLine="480" w:firstLineChars="200"/>
              <w:rPr>
                <w:rFonts w:hint="eastAsia" w:eastAsia="宋体"/>
                <w:color w:val="auto"/>
                <w:sz w:val="24"/>
                <w:szCs w:val="20"/>
                <w:lang w:eastAsia="zh-CN"/>
              </w:rPr>
            </w:pPr>
            <w:r>
              <w:rPr>
                <w:rFonts w:hint="eastAsia" w:eastAsia="宋体"/>
                <w:color w:val="auto"/>
                <w:sz w:val="24"/>
                <w:szCs w:val="20"/>
                <w:lang w:eastAsia="zh-CN"/>
              </w:rPr>
              <w:t>（</w:t>
            </w:r>
            <w:r>
              <w:rPr>
                <w:rFonts w:hint="eastAsia" w:ascii="Times New Roman" w:eastAsia="宋体"/>
                <w:color w:val="auto"/>
                <w:sz w:val="24"/>
                <w:szCs w:val="20"/>
                <w:lang w:val="en-US" w:eastAsia="zh-CN"/>
              </w:rPr>
              <w:t>2</w:t>
            </w:r>
            <w:r>
              <w:rPr>
                <w:rFonts w:hint="eastAsia" w:eastAsia="宋体"/>
                <w:color w:val="auto"/>
                <w:sz w:val="24"/>
                <w:szCs w:val="20"/>
                <w:lang w:eastAsia="zh-CN"/>
              </w:rPr>
              <w:t>）车辆及机械检修外协，不在施工现场检修及冲洗施工机械和车辆。</w:t>
            </w:r>
          </w:p>
          <w:p w14:paraId="2CD4D0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baseline"/>
              <w:outlineLvl w:val="9"/>
              <w:rPr>
                <w:rFonts w:hint="default" w:ascii="Times New Roman" w:hAnsi="Times New Roman" w:cs="Times New Roman"/>
                <w:color w:val="auto"/>
                <w:highlight w:val="none"/>
                <w:lang w:val="en-US"/>
              </w:rPr>
            </w:pPr>
            <w:r>
              <w:rPr>
                <w:rFonts w:hint="eastAsia" w:eastAsia="宋体"/>
                <w:color w:val="auto"/>
                <w:sz w:val="24"/>
                <w:szCs w:val="20"/>
                <w:lang w:eastAsia="zh-CN"/>
              </w:rPr>
              <w:t>（</w:t>
            </w:r>
            <w:r>
              <w:rPr>
                <w:rFonts w:hint="eastAsia" w:ascii="Times New Roman" w:eastAsia="宋体"/>
                <w:color w:val="auto"/>
                <w:sz w:val="24"/>
                <w:szCs w:val="20"/>
                <w:lang w:val="en-US" w:eastAsia="zh-CN"/>
              </w:rPr>
              <w:t>3</w:t>
            </w:r>
            <w:r>
              <w:rPr>
                <w:rFonts w:hint="eastAsia" w:eastAsia="宋体"/>
                <w:color w:val="auto"/>
                <w:sz w:val="24"/>
                <w:szCs w:val="20"/>
                <w:lang w:eastAsia="zh-CN"/>
              </w:rPr>
              <w:t>）</w:t>
            </w:r>
            <w:r>
              <w:rPr>
                <w:rFonts w:hint="eastAsia" w:ascii="Times New Roman" w:eastAsia="宋体"/>
                <w:color w:val="auto"/>
                <w:sz w:val="24"/>
                <w:szCs w:val="20"/>
                <w:lang w:val="en-US" w:eastAsia="zh-CN"/>
              </w:rPr>
              <w:t>施工前对可利用表土进行剥离，单独堆存，加强表土堆存防护及管理，确保有效回用。</w:t>
            </w:r>
          </w:p>
        </w:tc>
      </w:tr>
      <w:tr w14:paraId="1E820B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989" w:hRule="atLeast"/>
          <w:jc w:val="center"/>
        </w:trPr>
        <w:tc>
          <w:tcPr>
            <w:tcW w:w="497" w:type="dxa"/>
            <w:tcBorders>
              <w:tl2br w:val="nil"/>
              <w:tr2bl w:val="nil"/>
            </w:tcBorders>
            <w:noWrap w:val="0"/>
            <w:tcMar>
              <w:left w:w="28" w:type="dxa"/>
              <w:right w:w="28" w:type="dxa"/>
            </w:tcMar>
            <w:vAlign w:val="center"/>
          </w:tcPr>
          <w:p w14:paraId="08499039">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6183DF81">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24FD8ADC">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3634A5C6">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04B04780">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14:paraId="44E0983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 w:val="24"/>
                <w:szCs w:val="24"/>
                <w:highlight w:val="none"/>
              </w:rPr>
              <w:t>措施</w:t>
            </w:r>
          </w:p>
        </w:tc>
        <w:tc>
          <w:tcPr>
            <w:tcW w:w="8712" w:type="dxa"/>
            <w:tcBorders>
              <w:tl2br w:val="nil"/>
              <w:tr2bl w:val="nil"/>
            </w:tcBorders>
            <w:noWrap w:val="0"/>
            <w:vAlign w:val="top"/>
          </w:tcPr>
          <w:p w14:paraId="66D7DFB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一、废气</w:t>
            </w:r>
          </w:p>
          <w:p w14:paraId="6E6479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eastAsia="宋体"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1、废气环境影响分析及防治措施</w:t>
            </w:r>
          </w:p>
          <w:p w14:paraId="532310BB">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本项目对车架进行剪切、压块，对钢材进行破碎。运营期废气污染源主要包括：拆解车间拆解预处理（汽油抽取收集过程）产生的非甲烷总体、拆解过程产生的颗粒物、危废暂存间废油贮存过程中的非甲烷总烃、安全气囊引爆过程中产生的气体，制冷剂回收过程中氟利昂的挥发等污染物。</w:t>
            </w:r>
          </w:p>
          <w:p w14:paraId="2BD00E88">
            <w:pPr>
              <w:pStyle w:val="36"/>
              <w:numPr>
                <w:ilvl w:val="0"/>
                <w:numId w:val="0"/>
              </w:numPr>
              <w:spacing w:line="360" w:lineRule="auto"/>
              <w:ind w:firstLine="482" w:firstLine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（1）剪切、切割粉尘</w:t>
            </w:r>
          </w:p>
          <w:p w14:paraId="6C58AE38">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本项目报废汽车在剪切过程中，由于机械作用使汽车或部件表面的灰尘、铁锈等脱离逸散到空气中形成粉尘。根据《第二次全国污染源普查工业源系数手册》中“4210 金属废料及碎屑加工处理行业系数”项目粉尘的产排污系数见表4-1。</w:t>
            </w:r>
          </w:p>
          <w:p w14:paraId="54F6F6E9">
            <w:pPr>
              <w:pStyle w:val="36"/>
              <w:numPr>
                <w:ilvl w:val="0"/>
                <w:numId w:val="0"/>
              </w:numPr>
              <w:spacing w:line="360" w:lineRule="auto"/>
              <w:rPr>
                <w:rFonts w:hint="default" w:ascii="宋体" w:hAnsi="宋体" w:eastAsia="宋体" w:cs="宋体"/>
                <w:sz w:val="24"/>
                <w:szCs w:val="24"/>
                <w:lang w:val="en-US" w:eastAsia="zh-CN"/>
              </w:rPr>
            </w:pPr>
            <w:r>
              <w:rPr>
                <w:rFonts w:hint="eastAsia" w:ascii="宋体" w:hAnsi="宋体" w:cs="宋体"/>
                <w:b/>
                <w:bCs/>
                <w:sz w:val="24"/>
                <w:szCs w:val="24"/>
                <w:lang w:val="en-US" w:eastAsia="zh-CN"/>
              </w:rPr>
              <w:t>表4-1           金属废料及碎屑加工处理行业系数</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336"/>
              <w:gridCol w:w="1025"/>
              <w:gridCol w:w="1366"/>
              <w:gridCol w:w="1245"/>
            </w:tblGrid>
            <w:tr w14:paraId="38D7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Align w:val="center"/>
                </w:tcPr>
                <w:p w14:paraId="0569866D">
                  <w:pPr>
                    <w:jc w:val="center"/>
                    <w:rPr>
                      <w:rFonts w:hint="default"/>
                      <w:color w:val="auto"/>
                      <w:szCs w:val="21"/>
                      <w:lang w:val="en-US" w:eastAsia="zh-CN"/>
                    </w:rPr>
                  </w:pPr>
                  <w:r>
                    <w:rPr>
                      <w:rFonts w:hint="eastAsia"/>
                      <w:color w:val="auto"/>
                      <w:szCs w:val="21"/>
                      <w:lang w:val="en-US" w:eastAsia="zh-CN"/>
                    </w:rPr>
                    <w:t>产品名称</w:t>
                  </w:r>
                </w:p>
              </w:tc>
              <w:tc>
                <w:tcPr>
                  <w:tcW w:w="713" w:type="pct"/>
                  <w:vAlign w:val="center"/>
                </w:tcPr>
                <w:p w14:paraId="4E314C7C">
                  <w:pPr>
                    <w:jc w:val="center"/>
                    <w:rPr>
                      <w:rFonts w:hint="default"/>
                      <w:color w:val="auto"/>
                      <w:szCs w:val="21"/>
                      <w:lang w:val="en-US" w:eastAsia="zh-CN"/>
                    </w:rPr>
                  </w:pPr>
                  <w:r>
                    <w:rPr>
                      <w:rFonts w:hint="eastAsia"/>
                      <w:color w:val="auto"/>
                      <w:szCs w:val="21"/>
                      <w:lang w:val="en-US" w:eastAsia="zh-CN"/>
                    </w:rPr>
                    <w:t>工艺名称</w:t>
                  </w:r>
                </w:p>
              </w:tc>
              <w:tc>
                <w:tcPr>
                  <w:tcW w:w="713" w:type="pct"/>
                  <w:vAlign w:val="center"/>
                </w:tcPr>
                <w:p w14:paraId="7247FC1B">
                  <w:pPr>
                    <w:jc w:val="center"/>
                    <w:rPr>
                      <w:rFonts w:hint="default"/>
                      <w:color w:val="auto"/>
                      <w:szCs w:val="21"/>
                      <w:lang w:val="en-US" w:eastAsia="zh-CN"/>
                    </w:rPr>
                  </w:pPr>
                  <w:r>
                    <w:rPr>
                      <w:rFonts w:hint="eastAsia"/>
                      <w:color w:val="auto"/>
                      <w:szCs w:val="21"/>
                      <w:lang w:val="en-US" w:eastAsia="zh-CN"/>
                    </w:rPr>
                    <w:t>污染物指标</w:t>
                  </w:r>
                </w:p>
              </w:tc>
              <w:tc>
                <w:tcPr>
                  <w:tcW w:w="768" w:type="pct"/>
                  <w:vAlign w:val="center"/>
                </w:tcPr>
                <w:p w14:paraId="5B85255A">
                  <w:pPr>
                    <w:jc w:val="center"/>
                    <w:rPr>
                      <w:rFonts w:hint="default"/>
                      <w:color w:val="auto"/>
                      <w:szCs w:val="21"/>
                      <w:lang w:val="en-US" w:eastAsia="zh-CN"/>
                    </w:rPr>
                  </w:pPr>
                  <w:r>
                    <w:rPr>
                      <w:rFonts w:hint="eastAsia"/>
                      <w:color w:val="auto"/>
                      <w:szCs w:val="21"/>
                      <w:lang w:val="en-US" w:eastAsia="zh-CN"/>
                    </w:rPr>
                    <w:t>系数单位</w:t>
                  </w:r>
                </w:p>
              </w:tc>
              <w:tc>
                <w:tcPr>
                  <w:tcW w:w="589" w:type="pct"/>
                  <w:vAlign w:val="center"/>
                </w:tcPr>
                <w:p w14:paraId="2CFC633E">
                  <w:pPr>
                    <w:jc w:val="center"/>
                    <w:rPr>
                      <w:rFonts w:hint="default"/>
                      <w:color w:val="auto"/>
                      <w:szCs w:val="21"/>
                      <w:lang w:val="en-US" w:eastAsia="zh-CN"/>
                    </w:rPr>
                  </w:pPr>
                  <w:r>
                    <w:rPr>
                      <w:rFonts w:hint="eastAsia"/>
                      <w:color w:val="auto"/>
                      <w:szCs w:val="21"/>
                      <w:lang w:val="en-US" w:eastAsia="zh-CN"/>
                    </w:rPr>
                    <w:t>产污系数</w:t>
                  </w:r>
                </w:p>
              </w:tc>
              <w:tc>
                <w:tcPr>
                  <w:tcW w:w="785" w:type="pct"/>
                  <w:vAlign w:val="center"/>
                </w:tcPr>
                <w:p w14:paraId="61297BA2">
                  <w:pPr>
                    <w:jc w:val="center"/>
                    <w:rPr>
                      <w:rFonts w:hint="default"/>
                      <w:color w:val="auto"/>
                      <w:szCs w:val="21"/>
                      <w:lang w:val="en-US" w:eastAsia="zh-CN"/>
                    </w:rPr>
                  </w:pPr>
                  <w:r>
                    <w:rPr>
                      <w:rFonts w:hint="eastAsia"/>
                      <w:color w:val="auto"/>
                      <w:szCs w:val="21"/>
                      <w:lang w:val="en-US" w:eastAsia="zh-CN"/>
                    </w:rPr>
                    <w:t>末端治理技术名称</w:t>
                  </w:r>
                </w:p>
              </w:tc>
              <w:tc>
                <w:tcPr>
                  <w:tcW w:w="715" w:type="pct"/>
                  <w:vAlign w:val="center"/>
                </w:tcPr>
                <w:p w14:paraId="1530F8D4">
                  <w:pPr>
                    <w:jc w:val="center"/>
                    <w:rPr>
                      <w:rFonts w:hint="default"/>
                      <w:color w:val="auto"/>
                      <w:szCs w:val="21"/>
                      <w:lang w:val="en-US" w:eastAsia="zh-CN"/>
                    </w:rPr>
                  </w:pPr>
                  <w:r>
                    <w:rPr>
                      <w:rFonts w:hint="eastAsia"/>
                      <w:color w:val="auto"/>
                      <w:szCs w:val="21"/>
                      <w:lang w:val="en-US" w:eastAsia="zh-CN"/>
                    </w:rPr>
                    <w:t>末端治理技术效率（%）</w:t>
                  </w:r>
                </w:p>
              </w:tc>
            </w:tr>
            <w:tr w14:paraId="0274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restart"/>
                  <w:vAlign w:val="center"/>
                </w:tcPr>
                <w:p w14:paraId="2171D8D4">
                  <w:pPr>
                    <w:jc w:val="center"/>
                    <w:rPr>
                      <w:rFonts w:hint="default"/>
                      <w:color w:val="auto"/>
                      <w:szCs w:val="21"/>
                      <w:lang w:val="en-US" w:eastAsia="zh-CN"/>
                    </w:rPr>
                  </w:pPr>
                  <w:r>
                    <w:rPr>
                      <w:rFonts w:hint="eastAsia"/>
                      <w:color w:val="auto"/>
                      <w:szCs w:val="21"/>
                      <w:lang w:val="en-US" w:eastAsia="zh-CN"/>
                    </w:rPr>
                    <w:t>钢铁废碎料</w:t>
                  </w:r>
                </w:p>
              </w:tc>
              <w:tc>
                <w:tcPr>
                  <w:tcW w:w="713" w:type="pct"/>
                  <w:vAlign w:val="center"/>
                </w:tcPr>
                <w:p w14:paraId="718FEE89">
                  <w:pPr>
                    <w:jc w:val="center"/>
                    <w:rPr>
                      <w:rFonts w:hint="default"/>
                      <w:color w:val="auto"/>
                      <w:szCs w:val="21"/>
                      <w:lang w:val="en-US" w:eastAsia="zh-CN"/>
                    </w:rPr>
                  </w:pPr>
                  <w:r>
                    <w:rPr>
                      <w:rFonts w:hint="eastAsia"/>
                      <w:color w:val="auto"/>
                      <w:szCs w:val="21"/>
                      <w:lang w:val="en-US" w:eastAsia="zh-CN"/>
                    </w:rPr>
                    <w:t>剪切</w:t>
                  </w:r>
                </w:p>
              </w:tc>
              <w:tc>
                <w:tcPr>
                  <w:tcW w:w="713" w:type="pct"/>
                  <w:vAlign w:val="center"/>
                </w:tcPr>
                <w:p w14:paraId="7D98BE87">
                  <w:pPr>
                    <w:jc w:val="center"/>
                    <w:rPr>
                      <w:rFonts w:hint="default"/>
                      <w:color w:val="auto"/>
                      <w:szCs w:val="21"/>
                      <w:lang w:val="en-US" w:eastAsia="zh-CN"/>
                    </w:rPr>
                  </w:pPr>
                  <w:r>
                    <w:rPr>
                      <w:rFonts w:hint="eastAsia"/>
                      <w:color w:val="auto"/>
                      <w:szCs w:val="21"/>
                      <w:lang w:val="en-US" w:eastAsia="zh-CN"/>
                    </w:rPr>
                    <w:t>颗粒物</w:t>
                  </w:r>
                </w:p>
              </w:tc>
              <w:tc>
                <w:tcPr>
                  <w:tcW w:w="768" w:type="pct"/>
                  <w:vAlign w:val="center"/>
                </w:tcPr>
                <w:p w14:paraId="1B890485">
                  <w:pPr>
                    <w:jc w:val="center"/>
                    <w:rPr>
                      <w:rFonts w:hint="default"/>
                      <w:color w:val="auto"/>
                      <w:szCs w:val="21"/>
                      <w:lang w:val="en-US" w:eastAsia="zh-CN"/>
                    </w:rPr>
                  </w:pPr>
                  <w:r>
                    <w:rPr>
                      <w:rFonts w:hint="eastAsia"/>
                      <w:color w:val="auto"/>
                      <w:szCs w:val="21"/>
                      <w:lang w:val="en-US" w:eastAsia="zh-CN"/>
                    </w:rPr>
                    <w:t>克/吨-原料</w:t>
                  </w:r>
                </w:p>
              </w:tc>
              <w:tc>
                <w:tcPr>
                  <w:tcW w:w="589" w:type="pct"/>
                  <w:vAlign w:val="center"/>
                </w:tcPr>
                <w:p w14:paraId="7918434A">
                  <w:pPr>
                    <w:jc w:val="center"/>
                    <w:rPr>
                      <w:rFonts w:hint="default"/>
                      <w:color w:val="auto"/>
                      <w:szCs w:val="21"/>
                      <w:lang w:val="en-US" w:eastAsia="zh-CN"/>
                    </w:rPr>
                  </w:pPr>
                  <w:r>
                    <w:rPr>
                      <w:rFonts w:hint="eastAsia"/>
                      <w:color w:val="auto"/>
                      <w:szCs w:val="21"/>
                      <w:lang w:val="en-US" w:eastAsia="zh-CN"/>
                    </w:rPr>
                    <w:t>7.2</w:t>
                  </w:r>
                </w:p>
              </w:tc>
              <w:tc>
                <w:tcPr>
                  <w:tcW w:w="785" w:type="pct"/>
                  <w:vAlign w:val="center"/>
                </w:tcPr>
                <w:p w14:paraId="777CEDC6">
                  <w:pPr>
                    <w:jc w:val="center"/>
                    <w:rPr>
                      <w:rFonts w:hint="default"/>
                      <w:color w:val="auto"/>
                      <w:szCs w:val="21"/>
                      <w:lang w:val="en-US" w:eastAsia="zh-CN"/>
                    </w:rPr>
                  </w:pPr>
                  <w:r>
                    <w:rPr>
                      <w:rFonts w:hint="eastAsia"/>
                      <w:color w:val="auto"/>
                      <w:szCs w:val="21"/>
                      <w:lang w:val="en-US" w:eastAsia="zh-CN"/>
                    </w:rPr>
                    <w:t>/</w:t>
                  </w:r>
                </w:p>
              </w:tc>
              <w:tc>
                <w:tcPr>
                  <w:tcW w:w="715" w:type="pct"/>
                  <w:vAlign w:val="center"/>
                </w:tcPr>
                <w:p w14:paraId="0CD8498C">
                  <w:pPr>
                    <w:jc w:val="center"/>
                    <w:rPr>
                      <w:rFonts w:hint="default"/>
                      <w:color w:val="auto"/>
                      <w:szCs w:val="21"/>
                      <w:lang w:val="en-US" w:eastAsia="zh-CN"/>
                    </w:rPr>
                  </w:pPr>
                  <w:r>
                    <w:rPr>
                      <w:rFonts w:hint="eastAsia"/>
                      <w:color w:val="auto"/>
                      <w:szCs w:val="21"/>
                      <w:lang w:val="en-US" w:eastAsia="zh-CN"/>
                    </w:rPr>
                    <w:t>/</w:t>
                  </w:r>
                </w:p>
              </w:tc>
            </w:tr>
            <w:tr w14:paraId="2801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Merge w:val="continue"/>
                  <w:vAlign w:val="center"/>
                </w:tcPr>
                <w:p w14:paraId="020C4193">
                  <w:pPr>
                    <w:jc w:val="center"/>
                    <w:rPr>
                      <w:rFonts w:hint="default"/>
                      <w:color w:val="auto"/>
                      <w:szCs w:val="21"/>
                      <w:lang w:val="en-US" w:eastAsia="zh-CN"/>
                    </w:rPr>
                  </w:pPr>
                </w:p>
              </w:tc>
              <w:tc>
                <w:tcPr>
                  <w:tcW w:w="713" w:type="pct"/>
                  <w:vAlign w:val="center"/>
                </w:tcPr>
                <w:p w14:paraId="58CEA50E">
                  <w:pPr>
                    <w:jc w:val="center"/>
                    <w:rPr>
                      <w:rFonts w:hint="default"/>
                      <w:color w:val="auto"/>
                      <w:szCs w:val="21"/>
                      <w:lang w:val="en-US" w:eastAsia="zh-CN"/>
                    </w:rPr>
                  </w:pPr>
                  <w:r>
                    <w:rPr>
                      <w:rFonts w:hint="eastAsia"/>
                      <w:color w:val="auto"/>
                      <w:szCs w:val="21"/>
                      <w:lang w:val="en-US" w:eastAsia="zh-CN"/>
                    </w:rPr>
                    <w:t>破碎</w:t>
                  </w:r>
                </w:p>
              </w:tc>
              <w:tc>
                <w:tcPr>
                  <w:tcW w:w="713" w:type="pct"/>
                  <w:vAlign w:val="center"/>
                </w:tcPr>
                <w:p w14:paraId="42A21E00">
                  <w:pPr>
                    <w:jc w:val="center"/>
                    <w:rPr>
                      <w:rFonts w:hint="default"/>
                      <w:color w:val="auto"/>
                      <w:szCs w:val="21"/>
                      <w:lang w:val="en-US" w:eastAsia="zh-CN"/>
                    </w:rPr>
                  </w:pPr>
                  <w:r>
                    <w:rPr>
                      <w:rFonts w:hint="eastAsia"/>
                      <w:color w:val="auto"/>
                      <w:szCs w:val="21"/>
                      <w:lang w:val="en-US" w:eastAsia="zh-CN"/>
                    </w:rPr>
                    <w:t>颗粒物</w:t>
                  </w:r>
                </w:p>
              </w:tc>
              <w:tc>
                <w:tcPr>
                  <w:tcW w:w="768" w:type="pct"/>
                  <w:vAlign w:val="center"/>
                </w:tcPr>
                <w:p w14:paraId="1BA2AE6B">
                  <w:pPr>
                    <w:jc w:val="center"/>
                    <w:rPr>
                      <w:rFonts w:hint="default"/>
                      <w:color w:val="auto"/>
                      <w:szCs w:val="21"/>
                      <w:lang w:val="en-US" w:eastAsia="zh-CN"/>
                    </w:rPr>
                  </w:pPr>
                  <w:r>
                    <w:rPr>
                      <w:rFonts w:hint="eastAsia"/>
                      <w:color w:val="auto"/>
                      <w:szCs w:val="21"/>
                      <w:lang w:val="en-US" w:eastAsia="zh-CN"/>
                    </w:rPr>
                    <w:t>克/吨-原料</w:t>
                  </w:r>
                </w:p>
              </w:tc>
              <w:tc>
                <w:tcPr>
                  <w:tcW w:w="589" w:type="pct"/>
                  <w:vAlign w:val="center"/>
                </w:tcPr>
                <w:p w14:paraId="183C380E">
                  <w:pPr>
                    <w:jc w:val="center"/>
                    <w:rPr>
                      <w:rFonts w:hint="default"/>
                      <w:color w:val="auto"/>
                      <w:szCs w:val="21"/>
                      <w:lang w:val="en-US" w:eastAsia="zh-CN"/>
                    </w:rPr>
                  </w:pPr>
                  <w:r>
                    <w:rPr>
                      <w:rFonts w:hint="eastAsia"/>
                      <w:color w:val="auto"/>
                      <w:szCs w:val="21"/>
                      <w:lang w:val="en-US" w:eastAsia="zh-CN"/>
                    </w:rPr>
                    <w:t>360</w:t>
                  </w:r>
                </w:p>
              </w:tc>
              <w:tc>
                <w:tcPr>
                  <w:tcW w:w="785" w:type="pct"/>
                  <w:vAlign w:val="center"/>
                </w:tcPr>
                <w:p w14:paraId="56F91865">
                  <w:pPr>
                    <w:jc w:val="center"/>
                    <w:rPr>
                      <w:rFonts w:hint="default"/>
                      <w:color w:val="auto"/>
                      <w:szCs w:val="21"/>
                      <w:highlight w:val="none"/>
                      <w:lang w:val="en-US" w:eastAsia="zh-CN"/>
                    </w:rPr>
                  </w:pPr>
                  <w:r>
                    <w:rPr>
                      <w:rFonts w:hint="eastAsia"/>
                      <w:color w:val="auto"/>
                      <w:szCs w:val="21"/>
                      <w:highlight w:val="none"/>
                      <w:lang w:val="en-US" w:eastAsia="zh-CN"/>
                    </w:rPr>
                    <w:t>旋风+布袋</w:t>
                  </w:r>
                </w:p>
              </w:tc>
              <w:tc>
                <w:tcPr>
                  <w:tcW w:w="715" w:type="pct"/>
                  <w:vAlign w:val="center"/>
                </w:tcPr>
                <w:p w14:paraId="3DB0B92A">
                  <w:pPr>
                    <w:jc w:val="center"/>
                    <w:rPr>
                      <w:rFonts w:hint="default"/>
                      <w:color w:val="auto"/>
                      <w:szCs w:val="21"/>
                      <w:lang w:val="en-US" w:eastAsia="zh-CN"/>
                    </w:rPr>
                  </w:pPr>
                  <w:r>
                    <w:rPr>
                      <w:rFonts w:hint="eastAsia"/>
                      <w:color w:val="auto"/>
                      <w:szCs w:val="21"/>
                      <w:lang w:val="en-US" w:eastAsia="zh-CN"/>
                    </w:rPr>
                    <w:t>99</w:t>
                  </w:r>
                </w:p>
              </w:tc>
            </w:tr>
            <w:tr w14:paraId="5A8D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3" w:type="pct"/>
                  <w:vAlign w:val="center"/>
                </w:tcPr>
                <w:p w14:paraId="7846D99C">
                  <w:pPr>
                    <w:jc w:val="center"/>
                    <w:rPr>
                      <w:rFonts w:hint="default"/>
                      <w:color w:val="auto"/>
                      <w:szCs w:val="21"/>
                      <w:lang w:val="en-US" w:eastAsia="zh-CN"/>
                    </w:rPr>
                  </w:pPr>
                  <w:r>
                    <w:rPr>
                      <w:rFonts w:hint="eastAsia"/>
                      <w:color w:val="auto"/>
                      <w:szCs w:val="21"/>
                      <w:lang w:val="en-US" w:eastAsia="zh-CN"/>
                    </w:rPr>
                    <w:t>大型客车</w:t>
                  </w:r>
                </w:p>
              </w:tc>
              <w:tc>
                <w:tcPr>
                  <w:tcW w:w="713" w:type="pct"/>
                  <w:vAlign w:val="center"/>
                </w:tcPr>
                <w:p w14:paraId="41C242C7">
                  <w:pPr>
                    <w:jc w:val="center"/>
                    <w:rPr>
                      <w:rFonts w:hint="default"/>
                      <w:color w:val="auto"/>
                      <w:szCs w:val="21"/>
                      <w:lang w:val="en-US" w:eastAsia="zh-CN"/>
                    </w:rPr>
                  </w:pPr>
                  <w:r>
                    <w:rPr>
                      <w:rFonts w:hint="eastAsia"/>
                      <w:color w:val="auto"/>
                      <w:szCs w:val="21"/>
                      <w:lang w:val="en-US" w:eastAsia="zh-CN"/>
                    </w:rPr>
                    <w:t>切割</w:t>
                  </w:r>
                </w:p>
              </w:tc>
              <w:tc>
                <w:tcPr>
                  <w:tcW w:w="713" w:type="pct"/>
                  <w:vAlign w:val="center"/>
                </w:tcPr>
                <w:p w14:paraId="00874E17">
                  <w:pPr>
                    <w:jc w:val="center"/>
                    <w:rPr>
                      <w:rFonts w:hint="default"/>
                      <w:color w:val="auto"/>
                      <w:szCs w:val="21"/>
                      <w:lang w:val="en-US" w:eastAsia="zh-CN"/>
                    </w:rPr>
                  </w:pPr>
                  <w:r>
                    <w:rPr>
                      <w:rFonts w:hint="eastAsia"/>
                      <w:color w:val="auto"/>
                      <w:szCs w:val="21"/>
                      <w:lang w:val="en-US" w:eastAsia="zh-CN"/>
                    </w:rPr>
                    <w:t>颗粒物</w:t>
                  </w:r>
                </w:p>
              </w:tc>
              <w:tc>
                <w:tcPr>
                  <w:tcW w:w="768" w:type="pct"/>
                  <w:vAlign w:val="center"/>
                </w:tcPr>
                <w:p w14:paraId="4A1C903F">
                  <w:pPr>
                    <w:jc w:val="center"/>
                    <w:rPr>
                      <w:rFonts w:hint="default"/>
                      <w:color w:val="auto"/>
                      <w:szCs w:val="21"/>
                      <w:lang w:val="en-US" w:eastAsia="zh-CN"/>
                    </w:rPr>
                  </w:pPr>
                  <w:r>
                    <w:rPr>
                      <w:rFonts w:hint="eastAsia"/>
                      <w:color w:val="auto"/>
                      <w:szCs w:val="21"/>
                      <w:lang w:val="en-US" w:eastAsia="zh-CN"/>
                    </w:rPr>
                    <w:t>克/吨-原料</w:t>
                  </w:r>
                </w:p>
              </w:tc>
              <w:tc>
                <w:tcPr>
                  <w:tcW w:w="589" w:type="pct"/>
                  <w:vAlign w:val="center"/>
                </w:tcPr>
                <w:p w14:paraId="6C3C7870">
                  <w:pPr>
                    <w:jc w:val="center"/>
                    <w:rPr>
                      <w:rFonts w:hint="default"/>
                      <w:color w:val="auto"/>
                      <w:szCs w:val="21"/>
                      <w:lang w:val="en-US" w:eastAsia="zh-CN"/>
                    </w:rPr>
                  </w:pPr>
                  <w:r>
                    <w:rPr>
                      <w:rFonts w:hint="eastAsia"/>
                      <w:color w:val="auto"/>
                      <w:szCs w:val="21"/>
                      <w:lang w:val="en-US" w:eastAsia="zh-CN"/>
                    </w:rPr>
                    <w:t>0.4</w:t>
                  </w:r>
                </w:p>
              </w:tc>
              <w:tc>
                <w:tcPr>
                  <w:tcW w:w="785" w:type="pct"/>
                  <w:vAlign w:val="center"/>
                </w:tcPr>
                <w:p w14:paraId="08669792">
                  <w:pPr>
                    <w:jc w:val="center"/>
                    <w:rPr>
                      <w:rFonts w:hint="default"/>
                      <w:color w:val="auto"/>
                      <w:szCs w:val="21"/>
                      <w:lang w:val="en-US" w:eastAsia="zh-CN"/>
                    </w:rPr>
                  </w:pPr>
                  <w:r>
                    <w:rPr>
                      <w:rFonts w:hint="eastAsia"/>
                      <w:color w:val="auto"/>
                      <w:szCs w:val="21"/>
                      <w:lang w:val="en-US" w:eastAsia="zh-CN"/>
                    </w:rPr>
                    <w:t>集气罩+布袋除尘器</w:t>
                  </w:r>
                </w:p>
              </w:tc>
              <w:tc>
                <w:tcPr>
                  <w:tcW w:w="715" w:type="pct"/>
                  <w:vAlign w:val="center"/>
                </w:tcPr>
                <w:p w14:paraId="0F25CDFB">
                  <w:pPr>
                    <w:jc w:val="center"/>
                    <w:rPr>
                      <w:rFonts w:hint="default"/>
                      <w:color w:val="auto"/>
                      <w:szCs w:val="21"/>
                      <w:lang w:val="en-US" w:eastAsia="zh-CN"/>
                    </w:rPr>
                  </w:pPr>
                  <w:r>
                    <w:rPr>
                      <w:rFonts w:hint="eastAsia"/>
                      <w:color w:val="auto"/>
                      <w:szCs w:val="21"/>
                      <w:lang w:val="en-US" w:eastAsia="zh-CN"/>
                    </w:rPr>
                    <w:t>97</w:t>
                  </w:r>
                </w:p>
              </w:tc>
            </w:tr>
          </w:tbl>
          <w:p w14:paraId="65AA37A0">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拟建项目为汽车拆解，废旧钢铁剪切总量为8095.85t/a，根据上表可知，在剪切过程中粉尘产生量为0.058t/a，在精拆工序中，得到的产品为废钢铁、废电池、废有色金属、</w:t>
            </w:r>
            <w:r>
              <w:rPr>
                <w:rFonts w:hint="eastAsia" w:ascii="宋体" w:hAnsi="宋体" w:cs="宋体"/>
                <w:sz w:val="24"/>
                <w:szCs w:val="24"/>
                <w:highlight w:val="none"/>
                <w:lang w:val="en-US" w:eastAsia="zh-CN"/>
              </w:rPr>
              <w:t>废塑料、废玻璃、废轮胎、废纤维，约3618.85t/a，根据《第二次全国污染源普查工业源系数手册》中“4210 金属废料及碎屑加工处理行业系数”中“大型客车”</w:t>
            </w:r>
            <w:r>
              <w:rPr>
                <w:rFonts w:hint="eastAsia" w:ascii="宋体" w:hAnsi="宋体" w:cs="宋体"/>
                <w:b/>
                <w:bCs/>
                <w:sz w:val="24"/>
                <w:szCs w:val="24"/>
                <w:highlight w:val="none"/>
                <w:lang w:val="en-US" w:eastAsia="zh-CN"/>
              </w:rPr>
              <w:t>切割</w:t>
            </w:r>
            <w:r>
              <w:rPr>
                <w:rFonts w:hint="eastAsia" w:ascii="宋体" w:hAnsi="宋体" w:cs="宋体"/>
                <w:sz w:val="24"/>
                <w:szCs w:val="24"/>
                <w:highlight w:val="none"/>
                <w:lang w:val="en-US" w:eastAsia="zh-CN"/>
              </w:rPr>
              <w:t>工艺粉尘产污系数0.4g/t，则本项目精拆工序中产生的粉尘为0.002t/a。</w:t>
            </w:r>
          </w:p>
          <w:p w14:paraId="528787C4">
            <w:pPr>
              <w:pStyle w:val="36"/>
              <w:numPr>
                <w:ilvl w:val="0"/>
                <w:numId w:val="0"/>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本项目精拆工序及对钢铁的剪切作业均在拆解厂房内进行，拆解车间产生的粉尘总量为0.06t/a，在拆解工序上方设置集气罩，通过集气罩+管道进入布袋除尘器，集气罩收集效率达90%，布袋除尘器除尘效率可达97%，粉尘废气收集系统配备的风机风量为5000m</w:t>
            </w:r>
            <w:r>
              <w:rPr>
                <w:rFonts w:hint="eastAsia" w:ascii="宋体" w:hAnsi="宋体" w:cs="宋体"/>
                <w:sz w:val="24"/>
                <w:szCs w:val="24"/>
                <w:vertAlign w:val="superscript"/>
                <w:lang w:val="en-US" w:eastAsia="zh-CN"/>
              </w:rPr>
              <w:t>3</w:t>
            </w:r>
            <w:r>
              <w:rPr>
                <w:rFonts w:hint="eastAsia" w:ascii="宋体" w:hAnsi="宋体" w:cs="宋体"/>
                <w:sz w:val="24"/>
                <w:szCs w:val="24"/>
                <w:lang w:val="en-US" w:eastAsia="zh-CN"/>
              </w:rPr>
              <w:t>/h。经过处理后的废气，通过15m高的排气筒（DA001）排出。经计算，粉尘收集量为0.054t</w:t>
            </w:r>
            <w:r>
              <w:rPr>
                <w:rFonts w:hint="eastAsia" w:ascii="宋体" w:hAnsi="宋体" w:cs="宋体"/>
                <w:sz w:val="24"/>
                <w:szCs w:val="24"/>
                <w:highlight w:val="none"/>
                <w:lang w:val="en-US" w:eastAsia="zh-CN"/>
              </w:rPr>
              <w:t>/a，处理后排放的粉尘量为0.0016t/a，</w:t>
            </w:r>
            <w:r>
              <w:rPr>
                <w:rFonts w:hint="eastAsia" w:ascii="宋体" w:hAnsi="宋体" w:cs="宋体"/>
                <w:sz w:val="24"/>
                <w:szCs w:val="24"/>
                <w:lang w:val="en-US" w:eastAsia="zh-CN"/>
              </w:rPr>
              <w:t>排放速率0.0007kg/h，排放浓度0.14mg/m</w:t>
            </w:r>
            <w:r>
              <w:rPr>
                <w:rFonts w:hint="eastAsia" w:ascii="宋体" w:hAnsi="宋体" w:cs="宋体"/>
                <w:sz w:val="24"/>
                <w:szCs w:val="24"/>
                <w:vertAlign w:val="superscript"/>
                <w:lang w:val="en-US" w:eastAsia="zh-CN"/>
              </w:rPr>
              <w:t>3</w:t>
            </w:r>
            <w:r>
              <w:rPr>
                <w:rFonts w:hint="eastAsia" w:ascii="宋体" w:hAnsi="宋体" w:cs="宋体"/>
                <w:sz w:val="24"/>
                <w:szCs w:val="24"/>
                <w:lang w:val="en-US" w:eastAsia="zh-CN"/>
              </w:rPr>
              <w:t>，符合《大气污染物综合排放标准》（GB16297-1996）表2的二级标准。</w:t>
            </w:r>
          </w:p>
          <w:p w14:paraId="42A3A008">
            <w:pPr>
              <w:pStyle w:val="36"/>
              <w:numPr>
                <w:ilvl w:val="0"/>
                <w:numId w:val="0"/>
              </w:num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未收集粉尘无组织逸散，产生量为0.006t/a，排放速率为0.0025kg/h，通过车间窗户呈无组织逸散。</w:t>
            </w:r>
          </w:p>
          <w:p w14:paraId="47336CDF">
            <w:pPr>
              <w:pStyle w:val="36"/>
              <w:numPr>
                <w:ilvl w:val="0"/>
                <w:numId w:val="0"/>
              </w:numPr>
              <w:spacing w:line="360" w:lineRule="auto"/>
              <w:ind w:firstLine="482" w:firstLine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（2）废油液挥发废气</w:t>
            </w:r>
          </w:p>
          <w:p w14:paraId="343B21E3">
            <w:pPr>
              <w:pStyle w:val="36"/>
              <w:numPr>
                <w:ilvl w:val="0"/>
                <w:numId w:val="0"/>
              </w:num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汽车拆解收集的废油液包括燃油（主要为汽、柴油）、发动机机油、变速器机油、传动机构机油、动力转向油、制动液等各种液体，其他油液主要对发动机等机械设备起到润滑、清洁、密封、减磨、防锈等作用，相对于燃油而言其稳定性较强，有较强的氧化稳定性、热稳定性以及低挥发性，拆解回收过程中基本不产生废气污染。因此，本项目废油液回收过程中产生的主要废气污染物源于燃油（主要为汽、柴油）回收过程挥发的有机废气（主要污染物以非甲烷总烃计）。</w:t>
            </w:r>
          </w:p>
          <w:p w14:paraId="1D8065B6">
            <w:pPr>
              <w:pStyle w:val="36"/>
              <w:numPr>
                <w:ilvl w:val="0"/>
                <w:numId w:val="0"/>
              </w:numPr>
              <w:spacing w:line="360" w:lineRule="auto"/>
              <w:ind w:firstLine="480" w:firstLineChars="200"/>
              <w:rPr>
                <w:rFonts w:hint="eastAsia"/>
                <w:highlight w:val="none"/>
                <w:lang w:val="en-US" w:eastAsia="zh-CN"/>
              </w:rPr>
            </w:pPr>
            <w:r>
              <w:rPr>
                <w:rFonts w:hint="eastAsia"/>
                <w:lang w:val="en-US" w:eastAsia="zh-CN"/>
              </w:rPr>
              <w:t>本项目废油液产生量约为2.525t/a，根据《抑制汽油挥发技术的进展》（2002年油气储运，作者浮东宝），石油及其产品在储运过程中的蒸发损耗率高达0.4‰~0.8‰，本次评价以最大蒸发损耗率考虑，</w:t>
            </w:r>
            <w:r>
              <w:rPr>
                <w:rFonts w:hint="eastAsia"/>
                <w:highlight w:val="none"/>
                <w:lang w:val="en-US" w:eastAsia="zh-CN"/>
              </w:rPr>
              <w:t>则本项目非甲烷总烃的挥发量为0.0021t/a，年工作2400h，产生速率为0.0009kg/h。</w:t>
            </w:r>
          </w:p>
          <w:p w14:paraId="36DE7A37">
            <w:pPr>
              <w:pStyle w:val="36"/>
              <w:numPr>
                <w:ilvl w:val="0"/>
                <w:numId w:val="0"/>
              </w:numPr>
              <w:spacing w:line="360" w:lineRule="auto"/>
              <w:ind w:firstLine="480" w:firstLineChars="200"/>
              <w:rPr>
                <w:rFonts w:hint="default"/>
                <w:lang w:val="en-US" w:eastAsia="zh-CN"/>
              </w:rPr>
            </w:pPr>
            <w:r>
              <w:rPr>
                <w:rFonts w:hint="eastAsia"/>
                <w:highlight w:val="none"/>
                <w:lang w:val="en-US" w:eastAsia="zh-CN"/>
              </w:rPr>
              <w:t>项目拟通过风量为5000</w:t>
            </w:r>
            <w:r>
              <w:rPr>
                <w:rFonts w:hint="eastAsia" w:ascii="宋体" w:hAnsi="宋体" w:cs="宋体"/>
                <w:sz w:val="24"/>
                <w:szCs w:val="24"/>
                <w:highlight w:val="none"/>
                <w:lang w:val="en-US" w:eastAsia="zh-CN"/>
              </w:rPr>
              <w:t>m</w:t>
            </w:r>
            <w:r>
              <w:rPr>
                <w:rFonts w:hint="eastAsia" w:ascii="宋体" w:hAnsi="宋体" w:cs="宋体"/>
                <w:sz w:val="24"/>
                <w:szCs w:val="24"/>
                <w:highlight w:val="none"/>
                <w:vertAlign w:val="superscript"/>
                <w:lang w:val="en-US" w:eastAsia="zh-CN"/>
              </w:rPr>
              <w:t>3</w:t>
            </w:r>
            <w:r>
              <w:rPr>
                <w:rFonts w:hint="eastAsia" w:ascii="宋体" w:hAnsi="宋体" w:cs="宋体"/>
                <w:sz w:val="24"/>
                <w:szCs w:val="24"/>
                <w:highlight w:val="none"/>
                <w:lang w:val="en-US" w:eastAsia="zh-CN"/>
              </w:rPr>
              <w:t>/h的集气罩对废油液挥发废气进行收集，至二级活性炭吸附装置进行处理，收集效率按90%计，处理效率以60%计，则有组织排放量约0.0009t/a，排放速率0.0004kg/h，排放浓度为0.09mg/</w:t>
            </w:r>
            <w:r>
              <w:rPr>
                <w:rFonts w:hint="eastAsia" w:ascii="宋体" w:hAnsi="宋体" w:cs="宋体"/>
                <w:sz w:val="24"/>
                <w:szCs w:val="24"/>
                <w:lang w:val="en-US" w:eastAsia="zh-CN"/>
              </w:rPr>
              <w:t>m</w:t>
            </w:r>
            <w:r>
              <w:rPr>
                <w:rFonts w:hint="eastAsia" w:ascii="宋体" w:hAnsi="宋体" w:cs="宋体"/>
                <w:sz w:val="24"/>
                <w:szCs w:val="24"/>
                <w:vertAlign w:val="superscript"/>
                <w:lang w:val="en-US" w:eastAsia="zh-CN"/>
              </w:rPr>
              <w:t>3</w:t>
            </w:r>
            <w:r>
              <w:rPr>
                <w:rFonts w:hint="eastAsia" w:ascii="宋体" w:hAnsi="宋体" w:cs="宋体"/>
                <w:sz w:val="24"/>
                <w:szCs w:val="24"/>
                <w:lang w:val="en-US" w:eastAsia="zh-CN"/>
              </w:rPr>
              <w:t>，尾气通过15米排气筒（DA002）排放，未被集气罩收集的部分以无组织形式排放，则无组织排放量约0.0002t/a（0.00008kg/h）。</w:t>
            </w:r>
          </w:p>
          <w:p w14:paraId="1B28FD96">
            <w:pPr>
              <w:pStyle w:val="36"/>
              <w:numPr>
                <w:ilvl w:val="0"/>
                <w:numId w:val="0"/>
              </w:numPr>
              <w:spacing w:line="360" w:lineRule="auto"/>
              <w:ind w:firstLine="482" w:firstLineChars="200"/>
              <w:rPr>
                <w:rFonts w:hint="default"/>
                <w:b/>
                <w:bCs/>
                <w:lang w:val="en-US" w:eastAsia="zh-CN"/>
              </w:rPr>
            </w:pPr>
            <w:r>
              <w:rPr>
                <w:rFonts w:hint="eastAsia"/>
                <w:b/>
                <w:bCs/>
                <w:lang w:val="en-US" w:eastAsia="zh-CN"/>
              </w:rPr>
              <w:t>（3）废制冷剂挥发废气</w:t>
            </w:r>
          </w:p>
          <w:p w14:paraId="2325B3F5">
            <w:pPr>
              <w:pStyle w:val="36"/>
              <w:numPr>
                <w:ilvl w:val="0"/>
                <w:numId w:val="0"/>
              </w:numPr>
              <w:spacing w:line="360" w:lineRule="auto"/>
              <w:ind w:firstLine="480" w:firstLineChars="200"/>
              <w:rPr>
                <w:rFonts w:hint="eastAsia"/>
                <w:lang w:val="en-US" w:eastAsia="zh-CN"/>
              </w:rPr>
            </w:pPr>
            <w:r>
              <w:rPr>
                <w:rFonts w:hint="eastAsia"/>
                <w:lang w:val="en-US" w:eastAsia="zh-CN"/>
              </w:rPr>
              <w:t>在车辆拆解前，制冷剂需用冷媒抽取机收集到密闭的冷媒回收钢瓶中进行储存，正常情况下非甲烷总烃挥发量很少，仅有少量非甲烷总烃在操作过程中会泄露到空气中，经大气稀释后排放。项目年回收制冷剂约2.525t/a，非甲烷总烃的挥发量按制冷剂回收量的0.5‰，则挥发量为0.0013t/a，年工作2400h，产生速率0.0006kg/h。</w:t>
            </w:r>
          </w:p>
          <w:p w14:paraId="10FD3982">
            <w:pPr>
              <w:pStyle w:val="36"/>
              <w:numPr>
                <w:ilvl w:val="0"/>
                <w:numId w:val="0"/>
              </w:numPr>
              <w:spacing w:line="360" w:lineRule="auto"/>
              <w:ind w:firstLine="480" w:firstLineChars="200"/>
              <w:rPr>
                <w:rFonts w:hint="default"/>
                <w:lang w:val="en-US" w:eastAsia="zh-CN"/>
              </w:rPr>
            </w:pPr>
            <w:r>
              <w:rPr>
                <w:rFonts w:hint="eastAsia"/>
                <w:lang w:val="en-US" w:eastAsia="zh-CN"/>
              </w:rPr>
              <w:t>项目拟通过风量为5000m</w:t>
            </w:r>
            <w:r>
              <w:rPr>
                <w:rFonts w:hint="eastAsia"/>
                <w:vertAlign w:val="superscript"/>
                <w:lang w:val="en-US" w:eastAsia="zh-CN"/>
              </w:rPr>
              <w:t>3</w:t>
            </w:r>
            <w:r>
              <w:rPr>
                <w:rFonts w:hint="eastAsia"/>
                <w:lang w:val="en-US" w:eastAsia="zh-CN"/>
              </w:rPr>
              <w:t>/h的集气罩对废油液挥发废气进行收集，至二级活性炭吸附装置进行处理，收集效率按90%计，处理效率以60%计，则有组织排放量约0.0007t/a，排放速率0.0003kg/h，排放浓度为0.06mg/m</w:t>
            </w:r>
            <w:r>
              <w:rPr>
                <w:rFonts w:hint="eastAsia"/>
                <w:vertAlign w:val="superscript"/>
                <w:lang w:val="en-US" w:eastAsia="zh-CN"/>
              </w:rPr>
              <w:t>3</w:t>
            </w:r>
            <w:r>
              <w:rPr>
                <w:rFonts w:hint="eastAsia"/>
                <w:lang w:val="en-US" w:eastAsia="zh-CN"/>
              </w:rPr>
              <w:t>，尾气通过15米排气筒（DA002）排放，未被集气罩收集的部分以无组织形式排放，则无组织排放量约0.0001t/a（0.00004kg/h）。</w:t>
            </w:r>
          </w:p>
          <w:p w14:paraId="6271152F">
            <w:pPr>
              <w:pStyle w:val="36"/>
              <w:numPr>
                <w:ilvl w:val="0"/>
                <w:numId w:val="0"/>
              </w:numPr>
              <w:spacing w:line="360" w:lineRule="auto"/>
              <w:ind w:firstLine="482" w:firstLineChars="200"/>
              <w:rPr>
                <w:rFonts w:hint="default"/>
                <w:b/>
                <w:bCs/>
                <w:lang w:val="en-US" w:eastAsia="zh-CN"/>
              </w:rPr>
            </w:pPr>
            <w:r>
              <w:rPr>
                <w:rFonts w:hint="eastAsia"/>
                <w:b/>
                <w:bCs/>
                <w:lang w:val="en-US" w:eastAsia="zh-CN"/>
              </w:rPr>
              <w:t>（4）安全气囊引爆废气</w:t>
            </w:r>
          </w:p>
          <w:p w14:paraId="225C04E7">
            <w:pPr>
              <w:pStyle w:val="36"/>
              <w:numPr>
                <w:ilvl w:val="0"/>
                <w:numId w:val="0"/>
              </w:numPr>
              <w:spacing w:line="360" w:lineRule="auto"/>
              <w:ind w:firstLine="480" w:firstLineChars="200"/>
              <w:rPr>
                <w:rFonts w:hint="eastAsia"/>
                <w:lang w:val="en-US" w:eastAsia="zh-CN"/>
              </w:rPr>
            </w:pPr>
            <w:r>
              <w:rPr>
                <w:rFonts w:hint="eastAsia"/>
                <w:lang w:val="en-US" w:eastAsia="zh-CN"/>
              </w:rPr>
              <w:t>汽车的安全气囊内有叠氮酸钠（NaN</w:t>
            </w:r>
            <w:r>
              <w:rPr>
                <w:rFonts w:hint="eastAsia"/>
                <w:vertAlign w:val="subscript"/>
                <w:lang w:val="en-US" w:eastAsia="zh-CN"/>
              </w:rPr>
              <w:t>3</w:t>
            </w:r>
            <w:r>
              <w:rPr>
                <w:rFonts w:hint="eastAsia"/>
                <w:lang w:val="en-US" w:eastAsia="zh-CN"/>
              </w:rPr>
              <w:t>）或硝酸铵（NH</w:t>
            </w:r>
            <w:r>
              <w:rPr>
                <w:rFonts w:hint="eastAsia"/>
                <w:vertAlign w:val="subscript"/>
                <w:lang w:val="en-US" w:eastAsia="zh-CN"/>
              </w:rPr>
              <w:t>4</w:t>
            </w:r>
            <w:r>
              <w:rPr>
                <w:rFonts w:hint="eastAsia"/>
                <w:lang w:val="en-US" w:eastAsia="zh-CN"/>
              </w:rPr>
              <w:t>NO</w:t>
            </w:r>
            <w:r>
              <w:rPr>
                <w:rFonts w:hint="eastAsia"/>
                <w:vertAlign w:val="subscript"/>
                <w:lang w:val="en-US" w:eastAsia="zh-CN"/>
              </w:rPr>
              <w:t>3</w:t>
            </w:r>
            <w:r>
              <w:rPr>
                <w:rFonts w:hint="eastAsia"/>
                <w:lang w:val="en-US" w:eastAsia="zh-CN"/>
              </w:rPr>
              <w:t>）等物质。项目采用安全气囊引爆装置在单独的操作间引爆气囊，引爆过程会产生的气体主要是氮气。此外，气囊引爆过程会释放出少量粉状物质，其成分是普通的玉米淀粉或滑石粉，安全气囊制造商用它们来确保气囊在贮存时保持柔韧和润滑。由于这些废气产生量很少，且难定量分析，因此本报告不对其进行源强核算。</w:t>
            </w:r>
          </w:p>
          <w:p w14:paraId="6BAC16DC">
            <w:pPr>
              <w:pStyle w:val="36"/>
              <w:numPr>
                <w:ilvl w:val="0"/>
                <w:numId w:val="0"/>
              </w:numPr>
              <w:spacing w:line="360" w:lineRule="auto"/>
              <w:ind w:firstLine="482" w:firstLineChars="200"/>
              <w:rPr>
                <w:rFonts w:hint="default"/>
                <w:lang w:val="en-US" w:eastAsia="zh-CN"/>
              </w:rPr>
            </w:pPr>
            <w:r>
              <w:rPr>
                <w:rFonts w:hint="eastAsia"/>
                <w:b/>
                <w:bCs/>
                <w:lang w:val="en-US" w:eastAsia="zh-CN"/>
              </w:rPr>
              <w:t>（5）装卸粉尘</w:t>
            </w:r>
          </w:p>
          <w:p w14:paraId="3AE70F60">
            <w:pPr>
              <w:pStyle w:val="36"/>
              <w:numPr>
                <w:ilvl w:val="0"/>
                <w:numId w:val="0"/>
              </w:numPr>
              <w:spacing w:line="360" w:lineRule="auto"/>
              <w:ind w:firstLine="480" w:firstLineChars="200"/>
              <w:rPr>
                <w:rFonts w:hint="eastAsia"/>
                <w:lang w:val="en-US" w:eastAsia="zh-CN"/>
              </w:rPr>
            </w:pPr>
            <w:r>
              <w:rPr>
                <w:rFonts w:hint="eastAsia"/>
                <w:lang w:val="en-US" w:eastAsia="zh-CN"/>
              </w:rPr>
              <w:t>通常情况下，报废车辆本身不会有太多粉尘附着，而在运往厂区的过程中，车身上的大部分易脱落粉尘受到风力的影响后会散落于运输途中；</w:t>
            </w:r>
            <w:r>
              <w:rPr>
                <w:rFonts w:ascii="宋体" w:hAnsi="宋体" w:eastAsia="宋体" w:cs="宋体"/>
                <w:sz w:val="24"/>
                <w:szCs w:val="24"/>
              </w:rPr>
              <w:t>报废车辆在运至厂区后，卸车的过程中还会有极少部分粉尘散落的情况，因厂区内道路均已做好硬化并在运营期间会定期做好保洁工作，可有效的避免了卸车时造成的地面起尘，故本项目所产生的装卸粉尘对环境几乎不产生影响，本次环评不对项目装</w:t>
            </w:r>
            <w:r>
              <w:rPr>
                <w:rFonts w:hint="eastAsia"/>
                <w:lang w:val="en-US" w:eastAsia="zh-CN"/>
              </w:rPr>
              <w:t>卸粉尘做定量分析。</w:t>
            </w:r>
          </w:p>
          <w:p w14:paraId="368B6BEF">
            <w:pPr>
              <w:pStyle w:val="36"/>
              <w:numPr>
                <w:ilvl w:val="0"/>
                <w:numId w:val="0"/>
              </w:numPr>
              <w:spacing w:line="360" w:lineRule="auto"/>
              <w:ind w:firstLine="482" w:firstLineChars="200"/>
              <w:rPr>
                <w:rFonts w:hint="default" w:ascii="Times New Roman" w:hAnsi="Times New Roman" w:eastAsia="宋体"/>
                <w:lang w:val="en-US" w:eastAsia="zh-CN"/>
              </w:rPr>
            </w:pPr>
            <w:r>
              <w:rPr>
                <w:rFonts w:hint="eastAsia" w:ascii="Times New Roman" w:hAnsi="Times New Roman" w:eastAsia="宋体"/>
                <w:b/>
                <w:bCs/>
                <w:lang w:val="en-US" w:eastAsia="zh-CN"/>
              </w:rPr>
              <w:t>（6）危废暂存间废油储存产生的非甲烷总烃</w:t>
            </w:r>
          </w:p>
          <w:p w14:paraId="40D6FDD9">
            <w:pPr>
              <w:pStyle w:val="36"/>
              <w:numPr>
                <w:ilvl w:val="0"/>
                <w:numId w:val="0"/>
              </w:numPr>
              <w:spacing w:line="360" w:lineRule="auto"/>
              <w:ind w:firstLine="480" w:firstLineChars="200"/>
              <w:rPr>
                <w:rFonts w:hint="eastAsia"/>
                <w:highlight w:val="none"/>
                <w:lang w:val="en-US" w:eastAsia="zh-CN"/>
              </w:rPr>
            </w:pPr>
            <w:r>
              <w:rPr>
                <w:rFonts w:hint="eastAsia"/>
                <w:lang w:val="en-US" w:eastAsia="zh-CN"/>
              </w:rPr>
              <w:t>本项目废油液产生量约为2.525t/a，根据《抑制汽油挥发技术的进展》（2002年油气储运，作者浮东宝），石油及其产品在储运过程中的蒸发损耗率高达0.4‰~0.8‰，本次评价以最大蒸发损耗率考虑，</w:t>
            </w:r>
            <w:r>
              <w:rPr>
                <w:rFonts w:hint="eastAsia"/>
                <w:highlight w:val="none"/>
                <w:lang w:val="en-US" w:eastAsia="zh-CN"/>
              </w:rPr>
              <w:t>则本项目非甲烷总烃的挥发量为0.0021t/a，年工作2400h，产生速率为0.0009kg/h。</w:t>
            </w:r>
          </w:p>
          <w:p w14:paraId="6486F327">
            <w:pPr>
              <w:pStyle w:val="36"/>
              <w:numPr>
                <w:ilvl w:val="0"/>
                <w:numId w:val="0"/>
              </w:numPr>
              <w:spacing w:line="360" w:lineRule="auto"/>
              <w:ind w:firstLine="480" w:firstLineChars="200"/>
              <w:rPr>
                <w:rFonts w:hint="eastAsia" w:ascii="Times New Roman" w:hAnsi="Times New Roman" w:eastAsia="宋体"/>
                <w:lang w:val="en-US" w:eastAsia="zh-CN"/>
              </w:rPr>
            </w:pPr>
            <w:r>
              <w:rPr>
                <w:rFonts w:hint="eastAsia"/>
                <w:highlight w:val="none"/>
                <w:lang w:val="en-US" w:eastAsia="zh-CN"/>
              </w:rPr>
              <w:t>项目非甲烷总烃经集气罩收集后</w:t>
            </w:r>
            <w:r>
              <w:rPr>
                <w:rFonts w:hint="eastAsia" w:ascii="宋体" w:hAnsi="宋体" w:cs="宋体"/>
                <w:sz w:val="24"/>
                <w:szCs w:val="24"/>
                <w:highlight w:val="none"/>
                <w:lang w:val="en-US" w:eastAsia="zh-CN"/>
              </w:rPr>
              <w:t>，至二级活性炭吸附装置进行处理，处理效率以60%计，则</w:t>
            </w:r>
            <w:r>
              <w:rPr>
                <w:rFonts w:hint="eastAsia" w:ascii="宋体" w:hAnsi="宋体" w:cs="宋体"/>
                <w:sz w:val="24"/>
                <w:szCs w:val="24"/>
                <w:lang w:val="en-US" w:eastAsia="zh-CN"/>
              </w:rPr>
              <w:t>无组织排放量约0.00084t/a（0.00035kg/h）。</w:t>
            </w:r>
          </w:p>
          <w:p w14:paraId="2DD6A941">
            <w:pPr>
              <w:pStyle w:val="36"/>
              <w:numPr>
                <w:ilvl w:val="0"/>
                <w:numId w:val="0"/>
              </w:numPr>
              <w:spacing w:line="360" w:lineRule="auto"/>
              <w:ind w:firstLine="482" w:firstLineChars="200"/>
              <w:rPr>
                <w:rFonts w:hint="default"/>
                <w:b/>
                <w:bCs/>
                <w:lang w:val="en-US" w:eastAsia="zh-CN"/>
              </w:rPr>
            </w:pPr>
            <w:r>
              <w:rPr>
                <w:rFonts w:hint="eastAsia"/>
                <w:b/>
                <w:bCs/>
                <w:lang w:val="en-US" w:eastAsia="zh-CN"/>
              </w:rPr>
              <w:t>（7）运输车辆尾气</w:t>
            </w:r>
          </w:p>
          <w:p w14:paraId="685280F3">
            <w:pPr>
              <w:pStyle w:val="36"/>
              <w:numPr>
                <w:ilvl w:val="0"/>
                <w:numId w:val="0"/>
              </w:numPr>
              <w:spacing w:line="360" w:lineRule="auto"/>
              <w:ind w:firstLine="480" w:firstLineChars="200"/>
              <w:rPr>
                <w:rFonts w:hint="eastAsia"/>
                <w:lang w:val="en-US" w:eastAsia="zh-CN"/>
              </w:rPr>
            </w:pPr>
            <w:r>
              <w:rPr>
                <w:rFonts w:hint="eastAsia"/>
                <w:lang w:val="en-US" w:eastAsia="zh-CN"/>
              </w:rPr>
              <w:t>本项目需要拆解的报废机动车均由大型货运车辆运送至厂区，据业主提供资料可知，运输车辆的运输能力为5辆小汽车/次、2辆农用车/次，本项目处理小汽车4950辆、农用车50辆，则本项目运输车辆运输次数为1015次/年。</w:t>
            </w:r>
          </w:p>
          <w:p w14:paraId="242C2945">
            <w:pPr>
              <w:pStyle w:val="36"/>
              <w:numPr>
                <w:ilvl w:val="0"/>
                <w:numId w:val="0"/>
              </w:numPr>
              <w:spacing w:line="360" w:lineRule="auto"/>
              <w:ind w:firstLine="480" w:firstLineChars="200"/>
              <w:rPr>
                <w:rFonts w:hint="eastAsia"/>
                <w:lang w:val="en-US" w:eastAsia="zh-CN"/>
              </w:rPr>
            </w:pPr>
            <w:r>
              <w:rPr>
                <w:rFonts w:hint="eastAsia"/>
                <w:lang w:val="en-US" w:eastAsia="zh-CN"/>
              </w:rPr>
              <w:t>尾气中主要污染因子为CO、HC、NO</w:t>
            </w:r>
            <w:r>
              <w:rPr>
                <w:rFonts w:hint="eastAsia"/>
                <w:vertAlign w:val="subscript"/>
                <w:lang w:val="en-US" w:eastAsia="zh-CN"/>
              </w:rPr>
              <w:t>X</w:t>
            </w:r>
            <w:r>
              <w:rPr>
                <w:rFonts w:hint="eastAsia"/>
                <w:lang w:val="en-US" w:eastAsia="zh-CN"/>
              </w:rPr>
              <w:t>、SO</w:t>
            </w:r>
            <w:r>
              <w:rPr>
                <w:rFonts w:hint="eastAsia"/>
                <w:vertAlign w:val="subscript"/>
                <w:lang w:val="en-US" w:eastAsia="zh-CN"/>
              </w:rPr>
              <w:t>2</w:t>
            </w:r>
            <w:r>
              <w:rPr>
                <w:rFonts w:hint="eastAsia"/>
                <w:lang w:val="en-US" w:eastAsia="zh-CN"/>
              </w:rPr>
              <w:t>；参照《环境保护实用数据手册》可知机动车消耗单位燃料大气污染物排放系数，详见下表。</w:t>
            </w:r>
          </w:p>
          <w:p w14:paraId="55004BF3">
            <w:pPr>
              <w:pStyle w:val="36"/>
              <w:numPr>
                <w:ilvl w:val="0"/>
                <w:numId w:val="0"/>
              </w:numPr>
              <w:spacing w:line="360" w:lineRule="auto"/>
              <w:ind w:firstLine="482" w:firstLineChars="200"/>
              <w:rPr>
                <w:rFonts w:hint="default"/>
                <w:lang w:val="en-US" w:eastAsia="zh-CN"/>
              </w:rPr>
            </w:pPr>
            <w:r>
              <w:rPr>
                <w:rFonts w:hint="eastAsia" w:ascii="宋体" w:hAnsi="宋体" w:cs="宋体"/>
                <w:b/>
                <w:bCs/>
                <w:sz w:val="24"/>
                <w:szCs w:val="24"/>
                <w:lang w:val="en-US" w:eastAsia="zh-CN"/>
              </w:rPr>
              <w:t>表4-2   机动车消耗单位燃料大气污染物排放系数（g/L）</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738"/>
              <w:gridCol w:w="1738"/>
              <w:gridCol w:w="1739"/>
              <w:gridCol w:w="1739"/>
            </w:tblGrid>
            <w:tr w14:paraId="279B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999"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733B384">
                  <w:pPr>
                    <w:snapToGrid w:val="0"/>
                    <w:spacing w:line="240" w:lineRule="auto"/>
                    <w:jc w:val="center"/>
                    <w:rPr>
                      <w:rFonts w:hint="eastAsia"/>
                      <w:color w:val="auto"/>
                      <w:szCs w:val="21"/>
                      <w:lang w:val="en-US" w:eastAsia="zh-CN"/>
                    </w:rPr>
                  </w:pPr>
                </w:p>
                <w:p w14:paraId="68178DC2">
                  <w:pPr>
                    <w:snapToGrid w:val="0"/>
                    <w:spacing w:line="240" w:lineRule="auto"/>
                    <w:jc w:val="both"/>
                    <mc:AlternateContent>
                      <mc:Choice Requires="wpsCustomData">
                        <wpsCustomData:diagonalParaType/>
                      </mc:Choice>
                    </mc:AlternateContent>
                    <w:rPr>
                      <w:rFonts w:hint="default"/>
                      <w:color w:val="auto"/>
                      <w:szCs w:val="21"/>
                      <w:lang w:val="en-US" w:eastAsia="zh-CN"/>
                    </w:rPr>
                  </w:pPr>
                  <w:r>
                    <w:rPr>
                      <w:rFonts w:hint="eastAsia"/>
                      <w:color w:val="auto"/>
                      <w:szCs w:val="21"/>
                      <w:lang w:val="en-US" w:eastAsia="zh-CN"/>
                    </w:rPr>
                    <w:t>车种</w:t>
                  </w:r>
                </w:p>
                <w:p w14:paraId="62230EB1">
                  <w:pPr>
                    <w:jc w:val="both"/>
                    <w:rPr>
                      <w:rFonts w:hint="default"/>
                      <w:color w:val="auto"/>
                      <w:szCs w:val="21"/>
                      <w:lang w:val="en-US" w:eastAsia="zh-CN"/>
                    </w:rPr>
                  </w:pPr>
                  <w:r>
                    <w:rPr>
                      <w:rFonts w:hint="eastAsia"/>
                      <w:color w:val="auto"/>
                      <w:szCs w:val="21"/>
                      <w:lang w:val="en-US" w:eastAsia="zh-CN"/>
                    </w:rPr>
                    <w:t>污染物</w:t>
                  </w:r>
                </w:p>
              </w:tc>
              <w:tc>
                <w:tcPr>
                  <w:tcW w:w="999" w:type="pct"/>
                  <w:vAlign w:val="center"/>
                </w:tcPr>
                <w:p w14:paraId="73B1C67D">
                  <w:pPr>
                    <w:jc w:val="center"/>
                    <w:rPr>
                      <w:rFonts w:hint="default"/>
                      <w:color w:val="auto"/>
                      <w:szCs w:val="21"/>
                      <w:lang w:val="en-US" w:eastAsia="zh-CN"/>
                    </w:rPr>
                  </w:pPr>
                  <w:r>
                    <w:rPr>
                      <w:rFonts w:hint="eastAsia"/>
                      <w:color w:val="auto"/>
                      <w:szCs w:val="21"/>
                      <w:lang w:val="en-US" w:eastAsia="zh-CN"/>
                    </w:rPr>
                    <w:t>CO</w:t>
                  </w:r>
                </w:p>
              </w:tc>
              <w:tc>
                <w:tcPr>
                  <w:tcW w:w="999" w:type="pct"/>
                  <w:vAlign w:val="center"/>
                </w:tcPr>
                <w:p w14:paraId="61CFB410">
                  <w:pPr>
                    <w:jc w:val="center"/>
                    <w:rPr>
                      <w:rFonts w:hint="default"/>
                      <w:color w:val="auto"/>
                      <w:szCs w:val="21"/>
                      <w:lang w:val="en-US" w:eastAsia="zh-CN"/>
                    </w:rPr>
                  </w:pPr>
                  <w:r>
                    <w:rPr>
                      <w:rFonts w:hint="eastAsia"/>
                      <w:color w:val="auto"/>
                      <w:szCs w:val="21"/>
                      <w:lang w:val="en-US" w:eastAsia="zh-CN"/>
                    </w:rPr>
                    <w:t>HC</w:t>
                  </w:r>
                </w:p>
              </w:tc>
              <w:tc>
                <w:tcPr>
                  <w:tcW w:w="1000" w:type="pct"/>
                  <w:vAlign w:val="center"/>
                </w:tcPr>
                <w:p w14:paraId="51AA591B">
                  <w:pPr>
                    <w:jc w:val="center"/>
                    <w:rPr>
                      <w:rFonts w:hint="default"/>
                      <w:color w:val="auto"/>
                      <w:szCs w:val="21"/>
                      <w:lang w:val="en-US" w:eastAsia="zh-CN"/>
                    </w:rPr>
                  </w:pPr>
                  <w:r>
                    <w:rPr>
                      <w:rFonts w:hint="eastAsia"/>
                      <w:color w:val="auto"/>
                      <w:szCs w:val="21"/>
                      <w:lang w:val="en-US" w:eastAsia="zh-CN"/>
                    </w:rPr>
                    <w:t>NO</w:t>
                  </w:r>
                  <w:r>
                    <w:rPr>
                      <w:rFonts w:hint="eastAsia"/>
                      <w:color w:val="auto"/>
                      <w:szCs w:val="21"/>
                      <w:vertAlign w:val="subscript"/>
                      <w:lang w:val="en-US" w:eastAsia="zh-CN"/>
                    </w:rPr>
                    <w:t>X</w:t>
                  </w:r>
                </w:p>
              </w:tc>
              <w:tc>
                <w:tcPr>
                  <w:tcW w:w="1000" w:type="pct"/>
                  <w:vAlign w:val="center"/>
                </w:tcPr>
                <w:p w14:paraId="594E618C">
                  <w:pPr>
                    <w:jc w:val="center"/>
                    <w:rPr>
                      <w:rFonts w:hint="default"/>
                      <w:color w:val="auto"/>
                      <w:szCs w:val="21"/>
                      <w:lang w:val="en-US" w:eastAsia="zh-CN"/>
                    </w:rPr>
                  </w:pPr>
                  <w:r>
                    <w:rPr>
                      <w:rFonts w:hint="eastAsia"/>
                      <w:color w:val="auto"/>
                      <w:szCs w:val="21"/>
                      <w:lang w:val="en-US" w:eastAsia="zh-CN"/>
                    </w:rPr>
                    <w:t>SO</w:t>
                  </w:r>
                  <w:r>
                    <w:rPr>
                      <w:rFonts w:hint="eastAsia"/>
                      <w:color w:val="auto"/>
                      <w:szCs w:val="21"/>
                      <w:vertAlign w:val="subscript"/>
                      <w:lang w:val="en-US" w:eastAsia="zh-CN"/>
                    </w:rPr>
                    <w:t>2</w:t>
                  </w:r>
                </w:p>
              </w:tc>
            </w:tr>
            <w:tr w14:paraId="5E1B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Align w:val="center"/>
                </w:tcPr>
                <w:p w14:paraId="57203036">
                  <w:pPr>
                    <w:jc w:val="center"/>
                    <w:rPr>
                      <w:rFonts w:hint="default"/>
                      <w:color w:val="auto"/>
                      <w:szCs w:val="21"/>
                      <w:lang w:val="en-US" w:eastAsia="zh-CN"/>
                    </w:rPr>
                  </w:pPr>
                  <w:r>
                    <w:rPr>
                      <w:rFonts w:hint="eastAsia"/>
                      <w:color w:val="auto"/>
                      <w:szCs w:val="21"/>
                      <w:lang w:val="en-US" w:eastAsia="zh-CN"/>
                    </w:rPr>
                    <w:t>货车</w:t>
                  </w:r>
                </w:p>
              </w:tc>
              <w:tc>
                <w:tcPr>
                  <w:tcW w:w="999" w:type="pct"/>
                  <w:vAlign w:val="center"/>
                </w:tcPr>
                <w:p w14:paraId="62069821">
                  <w:pPr>
                    <w:jc w:val="center"/>
                    <w:rPr>
                      <w:rFonts w:hint="default"/>
                      <w:color w:val="auto"/>
                      <w:szCs w:val="21"/>
                      <w:lang w:val="en-US" w:eastAsia="zh-CN"/>
                    </w:rPr>
                  </w:pPr>
                  <w:r>
                    <w:rPr>
                      <w:rFonts w:hint="eastAsia"/>
                      <w:color w:val="auto"/>
                      <w:szCs w:val="21"/>
                      <w:lang w:val="en-US" w:eastAsia="zh-CN"/>
                    </w:rPr>
                    <w:t>33.8</w:t>
                  </w:r>
                </w:p>
              </w:tc>
              <w:tc>
                <w:tcPr>
                  <w:tcW w:w="999" w:type="pct"/>
                  <w:vAlign w:val="center"/>
                </w:tcPr>
                <w:p w14:paraId="4693C6DC">
                  <w:pPr>
                    <w:jc w:val="center"/>
                    <w:rPr>
                      <w:rFonts w:hint="default"/>
                      <w:color w:val="auto"/>
                      <w:szCs w:val="21"/>
                      <w:lang w:val="en-US" w:eastAsia="zh-CN"/>
                    </w:rPr>
                  </w:pPr>
                  <w:r>
                    <w:rPr>
                      <w:rFonts w:hint="eastAsia"/>
                      <w:color w:val="auto"/>
                      <w:szCs w:val="21"/>
                      <w:lang w:val="en-US" w:eastAsia="zh-CN"/>
                    </w:rPr>
                    <w:t>3.67</w:t>
                  </w:r>
                </w:p>
              </w:tc>
              <w:tc>
                <w:tcPr>
                  <w:tcW w:w="1000" w:type="pct"/>
                  <w:vAlign w:val="center"/>
                </w:tcPr>
                <w:p w14:paraId="5D839DB2">
                  <w:pPr>
                    <w:jc w:val="center"/>
                    <w:rPr>
                      <w:rFonts w:hint="default"/>
                      <w:color w:val="auto"/>
                      <w:szCs w:val="21"/>
                      <w:lang w:val="en-US" w:eastAsia="zh-CN"/>
                    </w:rPr>
                  </w:pPr>
                  <w:r>
                    <w:rPr>
                      <w:rFonts w:hint="eastAsia"/>
                      <w:color w:val="auto"/>
                      <w:szCs w:val="21"/>
                      <w:lang w:val="en-US" w:eastAsia="zh-CN"/>
                    </w:rPr>
                    <w:t>21.9</w:t>
                  </w:r>
                </w:p>
              </w:tc>
              <w:tc>
                <w:tcPr>
                  <w:tcW w:w="1000" w:type="pct"/>
                  <w:vAlign w:val="center"/>
                </w:tcPr>
                <w:p w14:paraId="40916C09">
                  <w:pPr>
                    <w:jc w:val="center"/>
                    <w:rPr>
                      <w:rFonts w:hint="default"/>
                      <w:color w:val="auto"/>
                      <w:szCs w:val="21"/>
                      <w:lang w:val="en-US" w:eastAsia="zh-CN"/>
                    </w:rPr>
                  </w:pPr>
                  <w:r>
                    <w:rPr>
                      <w:rFonts w:hint="eastAsia"/>
                      <w:color w:val="auto"/>
                      <w:szCs w:val="21"/>
                      <w:lang w:val="en-US" w:eastAsia="zh-CN"/>
                    </w:rPr>
                    <w:t>8.95</w:t>
                  </w:r>
                </w:p>
              </w:tc>
            </w:tr>
          </w:tbl>
          <w:p w14:paraId="5B3474A7">
            <w:pPr>
              <w:pStyle w:val="36"/>
              <w:numPr>
                <w:ilvl w:val="0"/>
                <w:numId w:val="0"/>
              </w:numPr>
              <w:spacing w:line="360" w:lineRule="auto"/>
              <w:ind w:firstLine="480" w:firstLineChars="200"/>
              <w:rPr>
                <w:rFonts w:hint="eastAsia"/>
                <w:lang w:val="en-US" w:eastAsia="zh-CN"/>
              </w:rPr>
            </w:pPr>
            <w:r>
              <w:rPr>
                <w:rFonts w:hint="eastAsia"/>
                <w:lang w:val="en-US" w:eastAsia="zh-CN"/>
              </w:rPr>
              <w:t>本项目通常情况下运输车辆出入厂区的行驶速度要求不大于5km/h，出入口到停车位的平均距离60m计算，则运输车辆从出入口到停车位的运行时间约为44s；运输车辆在厂区内停靠后至关闭发动机一般在3-10s，从停车位启动发动机至车辆离开一般在1-3min，本项目均按照最长时间计算，故运输车辆出入停车场与在停车场内的运行时间约为234s。根据调查，车辆进出厂区的平均耗油速率为0.20L/km，则每辆汽车进出厂区产生的废气污染物的量可由下式计算：g=f·M</w:t>
            </w:r>
          </w:p>
          <w:p w14:paraId="54864C41">
            <w:pPr>
              <w:pStyle w:val="36"/>
              <w:numPr>
                <w:ilvl w:val="0"/>
                <w:numId w:val="0"/>
              </w:numPr>
              <w:spacing w:line="360" w:lineRule="auto"/>
              <w:rPr>
                <w:rFonts w:hint="eastAsia"/>
                <w:lang w:val="en-US" w:eastAsia="zh-CN"/>
              </w:rPr>
            </w:pPr>
            <w:r>
              <w:rPr>
                <w:rFonts w:hint="eastAsia"/>
                <w:lang w:val="en-US" w:eastAsia="zh-CN"/>
              </w:rPr>
              <w:t>其中：M=m·t</w:t>
            </w:r>
          </w:p>
          <w:p w14:paraId="54B7D9AC">
            <w:pPr>
              <w:pStyle w:val="36"/>
              <w:numPr>
                <w:ilvl w:val="0"/>
                <w:numId w:val="0"/>
              </w:numPr>
              <w:spacing w:line="360" w:lineRule="auto"/>
              <w:rPr>
                <w:rFonts w:hint="eastAsia"/>
                <w:lang w:val="en-US" w:eastAsia="zh-CN"/>
              </w:rPr>
            </w:pPr>
            <w:r>
              <w:rPr>
                <w:rFonts w:hint="eastAsia"/>
                <w:lang w:val="en-US" w:eastAsia="zh-CN"/>
              </w:rPr>
              <w:t>式中：f—大气污染物排放系数（g/L汽油）；</w:t>
            </w:r>
          </w:p>
          <w:p w14:paraId="5E0045CD">
            <w:pPr>
              <w:pStyle w:val="36"/>
              <w:numPr>
                <w:ilvl w:val="0"/>
                <w:numId w:val="0"/>
              </w:numPr>
              <w:spacing w:line="360" w:lineRule="auto"/>
              <w:ind w:firstLine="720" w:firstLineChars="300"/>
              <w:rPr>
                <w:rFonts w:hint="eastAsia"/>
                <w:lang w:val="en-US" w:eastAsia="zh-CN"/>
              </w:rPr>
            </w:pPr>
            <w:r>
              <w:rPr>
                <w:rFonts w:hint="eastAsia"/>
                <w:lang w:val="en-US" w:eastAsia="zh-CN"/>
              </w:rPr>
              <w:t>M—每辆汽车进出停车场耗油量（L）；</w:t>
            </w:r>
          </w:p>
          <w:p w14:paraId="4EF6765C">
            <w:pPr>
              <w:pStyle w:val="36"/>
              <w:numPr>
                <w:ilvl w:val="0"/>
                <w:numId w:val="0"/>
              </w:numPr>
              <w:spacing w:line="360" w:lineRule="auto"/>
              <w:ind w:firstLine="720" w:firstLineChars="300"/>
              <w:rPr>
                <w:rFonts w:hint="eastAsia"/>
                <w:lang w:val="en-US" w:eastAsia="zh-CN"/>
              </w:rPr>
            </w:pPr>
            <w:r>
              <w:rPr>
                <w:rFonts w:hint="eastAsia"/>
                <w:lang w:val="en-US" w:eastAsia="zh-CN"/>
              </w:rPr>
              <w:t>t—汽车出入停车场与在停车场内的运行时间总和，由上述分析可知约234s；</w:t>
            </w:r>
          </w:p>
          <w:p w14:paraId="5AA22F7A">
            <w:pPr>
              <w:pStyle w:val="36"/>
              <w:numPr>
                <w:ilvl w:val="0"/>
                <w:numId w:val="0"/>
              </w:numPr>
              <w:spacing w:line="360" w:lineRule="auto"/>
              <w:ind w:firstLine="720" w:firstLineChars="300"/>
              <w:rPr>
                <w:rFonts w:hint="eastAsia"/>
                <w:lang w:val="en-US" w:eastAsia="zh-CN"/>
              </w:rPr>
            </w:pPr>
            <w:r>
              <w:rPr>
                <w:rFonts w:hint="eastAsia"/>
                <w:lang w:val="en-US" w:eastAsia="zh-CN"/>
              </w:rPr>
              <w:t>m—车辆进出停车场的平均耗油速率，约为0.20L/km，按照车速5km/h计算。</w:t>
            </w:r>
          </w:p>
          <w:p w14:paraId="09DACEBC">
            <w:pPr>
              <w:pStyle w:val="36"/>
              <w:numPr>
                <w:ilvl w:val="0"/>
                <w:numId w:val="0"/>
              </w:numPr>
              <w:spacing w:line="360" w:lineRule="auto"/>
              <w:ind w:firstLine="480" w:firstLineChars="200"/>
              <w:rPr>
                <w:rFonts w:hint="eastAsia"/>
                <w:vertAlign w:val="baseline"/>
                <w:lang w:val="en-US" w:eastAsia="zh-CN"/>
              </w:rPr>
            </w:pPr>
            <w:r>
              <w:rPr>
                <w:rFonts w:hint="eastAsia"/>
                <w:lang w:val="en-US" w:eastAsia="zh-CN"/>
              </w:rPr>
              <w:t>由上式计算可知每辆汽车进出厂区一次耗油量约为0.05L（出入口到停车位的平均距离以60m计），则每辆汽车进出厂区产生的废气污染物CO、HC、NO</w:t>
            </w:r>
            <w:r>
              <w:rPr>
                <w:rFonts w:hint="eastAsia"/>
                <w:vertAlign w:val="subscript"/>
                <w:lang w:val="en-US" w:eastAsia="zh-CN"/>
              </w:rPr>
              <w:t>X</w:t>
            </w:r>
            <w:r>
              <w:rPr>
                <w:rFonts w:hint="eastAsia"/>
                <w:lang w:val="en-US" w:eastAsia="zh-CN"/>
              </w:rPr>
              <w:t>、SO</w:t>
            </w:r>
            <w:r>
              <w:rPr>
                <w:rFonts w:hint="eastAsia"/>
                <w:vertAlign w:val="subscript"/>
                <w:lang w:val="en-US" w:eastAsia="zh-CN"/>
              </w:rPr>
              <w:t>2</w:t>
            </w:r>
            <w:r>
              <w:rPr>
                <w:rFonts w:hint="eastAsia"/>
                <w:vertAlign w:val="baseline"/>
                <w:lang w:val="en-US" w:eastAsia="zh-CN"/>
              </w:rPr>
              <w:t>的量分别为1.69g、0.184g、1.095g、0.448g。</w:t>
            </w:r>
          </w:p>
          <w:p w14:paraId="31697967">
            <w:pPr>
              <w:pStyle w:val="36"/>
              <w:numPr>
                <w:ilvl w:val="0"/>
                <w:numId w:val="0"/>
              </w:numPr>
              <w:spacing w:line="360" w:lineRule="auto"/>
              <w:ind w:firstLine="480" w:firstLineChars="200"/>
              <w:rPr>
                <w:rFonts w:hint="default"/>
                <w:lang w:val="en-US" w:eastAsia="zh-CN"/>
              </w:rPr>
            </w:pPr>
            <w:r>
              <w:rPr>
                <w:rFonts w:hint="eastAsia"/>
                <w:lang w:val="en-US" w:eastAsia="zh-CN"/>
              </w:rPr>
              <w:t>运输车辆尾气对环境的影响与车流量直接相关。本项目运输车辆运输次数为1015次/年，则运输车辆尾气的大气污染物排放情况如下表所示：</w:t>
            </w:r>
          </w:p>
          <w:p w14:paraId="76D8483F">
            <w:pPr>
              <w:pStyle w:val="36"/>
              <w:numPr>
                <w:ilvl w:val="0"/>
                <w:numId w:val="0"/>
              </w:numPr>
              <w:spacing w:line="360" w:lineRule="auto"/>
              <w:ind w:firstLine="482" w:firstLineChars="200"/>
              <w:rPr>
                <w:rFonts w:hint="default"/>
                <w:lang w:val="en-US" w:eastAsia="zh-CN"/>
              </w:rPr>
            </w:pPr>
            <w:r>
              <w:rPr>
                <w:rFonts w:hint="eastAsia" w:ascii="宋体" w:hAnsi="宋体" w:cs="宋体"/>
                <w:b/>
                <w:bCs/>
                <w:sz w:val="24"/>
                <w:szCs w:val="24"/>
                <w:lang w:val="en-US" w:eastAsia="zh-CN"/>
              </w:rPr>
              <w:t>表4-3         大气污染物排放情况</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8"/>
              <w:gridCol w:w="1738"/>
              <w:gridCol w:w="1738"/>
              <w:gridCol w:w="1739"/>
              <w:gridCol w:w="1739"/>
            </w:tblGrid>
            <w:tr w14:paraId="17D0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999" w:type="pct"/>
                  <w:vAlign w:val="center"/>
                </w:tcPr>
                <w:p w14:paraId="247F2DE6">
                  <w:pPr>
                    <w:jc w:val="center"/>
                    <w:rPr>
                      <w:rFonts w:hint="default"/>
                      <w:color w:val="auto"/>
                      <w:szCs w:val="21"/>
                      <w:lang w:val="en-US" w:eastAsia="zh-CN"/>
                    </w:rPr>
                  </w:pPr>
                  <w:r>
                    <w:rPr>
                      <w:rFonts w:hint="eastAsia"/>
                      <w:color w:val="auto"/>
                      <w:szCs w:val="21"/>
                      <w:lang w:val="en-US" w:eastAsia="zh-CN"/>
                    </w:rPr>
                    <w:t>污染因子</w:t>
                  </w:r>
                </w:p>
              </w:tc>
              <w:tc>
                <w:tcPr>
                  <w:tcW w:w="999" w:type="pct"/>
                  <w:vAlign w:val="center"/>
                </w:tcPr>
                <w:p w14:paraId="0FB25BC3">
                  <w:pPr>
                    <w:jc w:val="center"/>
                    <w:rPr>
                      <w:rFonts w:hint="default"/>
                      <w:color w:val="auto"/>
                      <w:szCs w:val="21"/>
                      <w:lang w:val="en-US" w:eastAsia="zh-CN"/>
                    </w:rPr>
                  </w:pPr>
                  <w:r>
                    <w:rPr>
                      <w:rFonts w:hint="eastAsia"/>
                      <w:color w:val="auto"/>
                      <w:szCs w:val="21"/>
                      <w:lang w:val="en-US" w:eastAsia="zh-CN"/>
                    </w:rPr>
                    <w:t>CO</w:t>
                  </w:r>
                </w:p>
              </w:tc>
              <w:tc>
                <w:tcPr>
                  <w:tcW w:w="999" w:type="pct"/>
                  <w:vAlign w:val="center"/>
                </w:tcPr>
                <w:p w14:paraId="1DF02849">
                  <w:pPr>
                    <w:jc w:val="center"/>
                    <w:rPr>
                      <w:rFonts w:hint="default"/>
                      <w:color w:val="auto"/>
                      <w:szCs w:val="21"/>
                      <w:lang w:val="en-US" w:eastAsia="zh-CN"/>
                    </w:rPr>
                  </w:pPr>
                  <w:r>
                    <w:rPr>
                      <w:rFonts w:hint="eastAsia"/>
                      <w:color w:val="auto"/>
                      <w:szCs w:val="21"/>
                      <w:lang w:val="en-US" w:eastAsia="zh-CN"/>
                    </w:rPr>
                    <w:t>HC</w:t>
                  </w:r>
                </w:p>
              </w:tc>
              <w:tc>
                <w:tcPr>
                  <w:tcW w:w="1000" w:type="pct"/>
                  <w:vAlign w:val="center"/>
                </w:tcPr>
                <w:p w14:paraId="5F7BE9DB">
                  <w:pPr>
                    <w:jc w:val="center"/>
                    <w:rPr>
                      <w:rFonts w:hint="default"/>
                      <w:color w:val="auto"/>
                      <w:szCs w:val="21"/>
                      <w:lang w:val="en-US" w:eastAsia="zh-CN"/>
                    </w:rPr>
                  </w:pPr>
                  <w:r>
                    <w:rPr>
                      <w:rFonts w:hint="eastAsia"/>
                      <w:color w:val="auto"/>
                      <w:szCs w:val="21"/>
                      <w:lang w:val="en-US" w:eastAsia="zh-CN"/>
                    </w:rPr>
                    <w:t>NO</w:t>
                  </w:r>
                  <w:r>
                    <w:rPr>
                      <w:rFonts w:hint="eastAsia"/>
                      <w:color w:val="auto"/>
                      <w:szCs w:val="21"/>
                      <w:vertAlign w:val="subscript"/>
                      <w:lang w:val="en-US" w:eastAsia="zh-CN"/>
                    </w:rPr>
                    <w:t>X</w:t>
                  </w:r>
                </w:p>
              </w:tc>
              <w:tc>
                <w:tcPr>
                  <w:tcW w:w="1000" w:type="pct"/>
                  <w:vAlign w:val="center"/>
                </w:tcPr>
                <w:p w14:paraId="69980B17">
                  <w:pPr>
                    <w:jc w:val="center"/>
                    <w:rPr>
                      <w:rFonts w:hint="default"/>
                      <w:color w:val="auto"/>
                      <w:szCs w:val="21"/>
                      <w:lang w:val="en-US" w:eastAsia="zh-CN"/>
                    </w:rPr>
                  </w:pPr>
                  <w:r>
                    <w:rPr>
                      <w:rFonts w:hint="eastAsia"/>
                      <w:color w:val="auto"/>
                      <w:szCs w:val="21"/>
                      <w:lang w:val="en-US" w:eastAsia="zh-CN"/>
                    </w:rPr>
                    <w:t>SO</w:t>
                  </w:r>
                  <w:r>
                    <w:rPr>
                      <w:rFonts w:hint="eastAsia"/>
                      <w:color w:val="auto"/>
                      <w:szCs w:val="21"/>
                      <w:vertAlign w:val="subscript"/>
                      <w:lang w:val="en-US" w:eastAsia="zh-CN"/>
                    </w:rPr>
                    <w:t>2</w:t>
                  </w:r>
                </w:p>
              </w:tc>
            </w:tr>
            <w:tr w14:paraId="74DD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vAlign w:val="center"/>
                </w:tcPr>
                <w:p w14:paraId="42CFF89E">
                  <w:pPr>
                    <w:jc w:val="center"/>
                    <w:rPr>
                      <w:rFonts w:hint="default"/>
                      <w:color w:val="auto"/>
                      <w:szCs w:val="21"/>
                      <w:lang w:val="en-US" w:eastAsia="zh-CN"/>
                    </w:rPr>
                  </w:pPr>
                  <w:r>
                    <w:rPr>
                      <w:rFonts w:hint="eastAsia"/>
                      <w:color w:val="auto"/>
                      <w:szCs w:val="21"/>
                      <w:lang w:val="en-US" w:eastAsia="zh-CN"/>
                    </w:rPr>
                    <w:t>污染物排放量（t/a）</w:t>
                  </w:r>
                </w:p>
              </w:tc>
              <w:tc>
                <w:tcPr>
                  <w:tcW w:w="999" w:type="pct"/>
                  <w:vAlign w:val="center"/>
                </w:tcPr>
                <w:p w14:paraId="583B6D71">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0.0017 </w:t>
                  </w:r>
                </w:p>
              </w:tc>
              <w:tc>
                <w:tcPr>
                  <w:tcW w:w="999" w:type="pct"/>
                  <w:vAlign w:val="center"/>
                </w:tcPr>
                <w:p w14:paraId="6A8123FE">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0.0002 </w:t>
                  </w:r>
                </w:p>
              </w:tc>
              <w:tc>
                <w:tcPr>
                  <w:tcW w:w="1000" w:type="pct"/>
                  <w:vAlign w:val="center"/>
                </w:tcPr>
                <w:p w14:paraId="08DD5287">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0.0011 </w:t>
                  </w:r>
                </w:p>
              </w:tc>
              <w:tc>
                <w:tcPr>
                  <w:tcW w:w="1000" w:type="pct"/>
                  <w:vAlign w:val="center"/>
                </w:tcPr>
                <w:p w14:paraId="64EE7686">
                  <w:pPr>
                    <w:keepNext w:val="0"/>
                    <w:keepLines w:val="0"/>
                    <w:widowControl/>
                    <w:suppressLineNumbers w:val="0"/>
                    <w:jc w:val="center"/>
                    <w:textAlignment w:val="center"/>
                    <w:rPr>
                      <w:rFonts w:hint="default"/>
                      <w:color w:val="auto"/>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0.0005 </w:t>
                  </w:r>
                </w:p>
              </w:tc>
            </w:tr>
          </w:tbl>
          <w:p w14:paraId="201A19ED">
            <w:pPr>
              <w:pStyle w:val="36"/>
              <w:numPr>
                <w:ilvl w:val="0"/>
                <w:numId w:val="0"/>
              </w:numPr>
              <w:spacing w:line="360" w:lineRule="auto"/>
              <w:ind w:firstLine="480" w:firstLineChars="200"/>
              <w:rPr>
                <w:rFonts w:hint="default"/>
                <w:lang w:val="en-US" w:eastAsia="zh-CN"/>
              </w:rPr>
            </w:pPr>
            <w:r>
              <w:rPr>
                <w:rFonts w:hint="eastAsia"/>
                <w:lang w:val="en-US" w:eastAsia="zh-CN"/>
              </w:rPr>
              <w:t>由以上计算结果可知，本项目运输车辆尾气产生CO、HC、NO</w:t>
            </w:r>
            <w:r>
              <w:rPr>
                <w:rFonts w:hint="eastAsia"/>
                <w:vertAlign w:val="subscript"/>
                <w:lang w:val="en-US" w:eastAsia="zh-CN"/>
              </w:rPr>
              <w:t>X</w:t>
            </w:r>
            <w:r>
              <w:rPr>
                <w:rFonts w:hint="eastAsia"/>
                <w:lang w:val="en-US" w:eastAsia="zh-CN"/>
              </w:rPr>
              <w:t>、SO</w:t>
            </w:r>
            <w:r>
              <w:rPr>
                <w:rFonts w:hint="eastAsia"/>
                <w:vertAlign w:val="subscript"/>
                <w:lang w:val="en-US" w:eastAsia="zh-CN"/>
              </w:rPr>
              <w:t>2</w:t>
            </w:r>
            <w:r>
              <w:rPr>
                <w:rFonts w:hint="eastAsia"/>
                <w:vertAlign w:val="baseline"/>
                <w:lang w:val="en-US" w:eastAsia="zh-CN"/>
              </w:rPr>
              <w:t>的</w:t>
            </w:r>
            <w:r>
              <w:rPr>
                <w:rFonts w:hint="eastAsia"/>
                <w:b w:val="0"/>
                <w:bCs w:val="0"/>
                <w:vertAlign w:val="baseline"/>
                <w:lang w:val="en-US" w:eastAsia="zh-CN"/>
              </w:rPr>
              <w:t>量</w:t>
            </w:r>
            <w:r>
              <w:rPr>
                <w:rFonts w:hint="eastAsia"/>
                <w:b w:val="0"/>
                <w:bCs w:val="0"/>
                <w:lang w:val="en-US" w:eastAsia="zh-CN"/>
              </w:rPr>
              <w:t>分别为：</w:t>
            </w:r>
            <w:r>
              <w:rPr>
                <w:rFonts w:hint="eastAsia"/>
                <w:lang w:val="en-US" w:eastAsia="zh-CN"/>
              </w:rPr>
              <w:t>0.0017t/a、0.0002t/a、0.0011t/a、0.0005t/a。</w:t>
            </w:r>
          </w:p>
          <w:p w14:paraId="7EF31505">
            <w:pPr>
              <w:pStyle w:val="36"/>
              <w:numPr>
                <w:ilvl w:val="0"/>
                <w:numId w:val="0"/>
              </w:numPr>
              <w:spacing w:line="360" w:lineRule="auto"/>
              <w:ind w:firstLine="482" w:firstLineChars="200"/>
              <w:rPr>
                <w:rFonts w:hint="default"/>
                <w:b/>
                <w:bCs/>
                <w:lang w:val="en-US" w:eastAsia="zh-CN"/>
              </w:rPr>
            </w:pPr>
            <w:r>
              <w:rPr>
                <w:rFonts w:hint="eastAsia"/>
                <w:b/>
                <w:bCs/>
                <w:lang w:val="en-US" w:eastAsia="zh-CN"/>
              </w:rPr>
              <w:t>（8）物料堆存恶臭</w:t>
            </w:r>
          </w:p>
          <w:p w14:paraId="79BB3319">
            <w:pPr>
              <w:pStyle w:val="36"/>
              <w:numPr>
                <w:ilvl w:val="0"/>
                <w:numId w:val="0"/>
              </w:numPr>
              <w:spacing w:line="360" w:lineRule="auto"/>
              <w:ind w:firstLine="480" w:firstLineChars="200"/>
              <w:rPr>
                <w:rFonts w:hint="eastAsia"/>
                <w:lang w:val="en-US" w:eastAsia="zh-CN"/>
              </w:rPr>
            </w:pPr>
            <w:r>
              <w:rPr>
                <w:rFonts w:hint="eastAsia"/>
                <w:lang w:val="en-US" w:eastAsia="zh-CN"/>
              </w:rPr>
              <w:t>物料堆存恶臭主要是来自危废暂存库。车辆拆卸下的零部件以及多种废油液在贮存过程中，少量的跑冒滴漏以及挥发逸散现象难以避免。资料标明，汽车拆解企业恶臭异味具体是哪种物质尚不明确，且恶臭气体实际上是一种低浓度多组分的混合物，无法以某种或几种恶臭物质来衡量，应是以全部恶臭源的组合给人以整体的感觉。</w:t>
            </w:r>
          </w:p>
          <w:p w14:paraId="207D2CB1">
            <w:pPr>
              <w:pStyle w:val="36"/>
              <w:numPr>
                <w:ilvl w:val="0"/>
                <w:numId w:val="0"/>
              </w:numPr>
              <w:spacing w:line="360" w:lineRule="auto"/>
              <w:ind w:firstLine="480" w:firstLineChars="200"/>
              <w:rPr>
                <w:rFonts w:hint="default"/>
                <w:lang w:val="en-US" w:eastAsia="zh-CN"/>
              </w:rPr>
            </w:pPr>
            <w:r>
              <w:rPr>
                <w:rFonts w:ascii="宋体" w:hAnsi="宋体" w:eastAsia="宋体" w:cs="宋体"/>
                <w:sz w:val="24"/>
                <w:szCs w:val="24"/>
              </w:rPr>
              <w:t>因此，本次环评要求建设单位需要加强生产管理，对堆存的物料及时处理，加强车间、危险废物暂存库等通排风和厂区绿化，使厂界臭气浓度满足《恶臭污染物排放标准》（GB14554-93）表1新改扩建二级标准。</w:t>
            </w:r>
          </w:p>
          <w:p w14:paraId="385FE0E1">
            <w:pPr>
              <w:pStyle w:val="36"/>
              <w:numPr>
                <w:ilvl w:val="0"/>
                <w:numId w:val="0"/>
              </w:numPr>
              <w:spacing w:line="360" w:lineRule="auto"/>
              <w:ind w:firstLine="482" w:firstLineChars="200"/>
              <w:rPr>
                <w:rFonts w:hint="default"/>
                <w:lang w:val="en-US" w:eastAsia="zh-CN"/>
              </w:rPr>
            </w:pPr>
            <w:r>
              <w:rPr>
                <w:rFonts w:hint="eastAsia" w:ascii="宋体" w:hAnsi="宋体" w:cs="宋体"/>
                <w:b/>
                <w:bCs/>
                <w:sz w:val="24"/>
                <w:szCs w:val="24"/>
                <w:lang w:val="en-US" w:eastAsia="zh-CN"/>
              </w:rPr>
              <w:t>表4-4         项目工艺废气产排情况一览表</w:t>
            </w:r>
          </w:p>
          <w:tbl>
            <w:tblPr>
              <w:tblStyle w:val="29"/>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415"/>
              <w:gridCol w:w="415"/>
              <w:gridCol w:w="615"/>
              <w:gridCol w:w="765"/>
              <w:gridCol w:w="864"/>
              <w:gridCol w:w="415"/>
              <w:gridCol w:w="581"/>
              <w:gridCol w:w="581"/>
              <w:gridCol w:w="747"/>
              <w:gridCol w:w="864"/>
              <w:gridCol w:w="615"/>
              <w:gridCol w:w="1203"/>
            </w:tblGrid>
            <w:tr w14:paraId="0196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2" w:type="dxa"/>
                  <w:vMerge w:val="restart"/>
                  <w:vAlign w:val="center"/>
                </w:tcPr>
                <w:p w14:paraId="368C6E38">
                  <w:pPr>
                    <w:jc w:val="center"/>
                    <w:rPr>
                      <w:rFonts w:hint="default"/>
                      <w:color w:val="auto"/>
                      <w:szCs w:val="21"/>
                      <w:lang w:val="en-US" w:eastAsia="zh-CN"/>
                    </w:rPr>
                  </w:pPr>
                  <w:r>
                    <w:rPr>
                      <w:rFonts w:hint="eastAsia"/>
                      <w:color w:val="auto"/>
                      <w:szCs w:val="21"/>
                      <w:lang w:val="en-US" w:eastAsia="zh-CN"/>
                    </w:rPr>
                    <w:t>污染源</w:t>
                  </w:r>
                </w:p>
              </w:tc>
              <w:tc>
                <w:tcPr>
                  <w:tcW w:w="422" w:type="dxa"/>
                  <w:vMerge w:val="restart"/>
                  <w:vAlign w:val="center"/>
                </w:tcPr>
                <w:p w14:paraId="4F820A63">
                  <w:pPr>
                    <w:jc w:val="center"/>
                    <w:rPr>
                      <w:rFonts w:hint="default"/>
                      <w:color w:val="auto"/>
                      <w:szCs w:val="21"/>
                      <w:lang w:val="en-US" w:eastAsia="zh-CN"/>
                    </w:rPr>
                  </w:pPr>
                  <w:r>
                    <w:rPr>
                      <w:rFonts w:hint="eastAsia"/>
                      <w:color w:val="auto"/>
                      <w:szCs w:val="21"/>
                      <w:lang w:val="en-US" w:eastAsia="zh-CN"/>
                    </w:rPr>
                    <w:t>污染物</w:t>
                  </w:r>
                </w:p>
              </w:tc>
              <w:tc>
                <w:tcPr>
                  <w:tcW w:w="422" w:type="dxa"/>
                  <w:vMerge w:val="restart"/>
                  <w:vAlign w:val="center"/>
                </w:tcPr>
                <w:p w14:paraId="0D2BB0E7">
                  <w:pPr>
                    <w:jc w:val="center"/>
                    <w:rPr>
                      <w:rFonts w:hint="default"/>
                      <w:color w:val="auto"/>
                      <w:szCs w:val="21"/>
                      <w:lang w:val="en-US" w:eastAsia="zh-CN"/>
                    </w:rPr>
                  </w:pPr>
                  <w:r>
                    <w:rPr>
                      <w:rFonts w:hint="eastAsia"/>
                      <w:color w:val="auto"/>
                      <w:szCs w:val="21"/>
                      <w:lang w:val="en-US" w:eastAsia="zh-CN"/>
                    </w:rPr>
                    <w:t>排放形式</w:t>
                  </w:r>
                </w:p>
              </w:tc>
              <w:tc>
                <w:tcPr>
                  <w:tcW w:w="628" w:type="dxa"/>
                  <w:vMerge w:val="restart"/>
                  <w:vAlign w:val="center"/>
                </w:tcPr>
                <w:p w14:paraId="36BE0667">
                  <w:pPr>
                    <w:jc w:val="center"/>
                    <w:rPr>
                      <w:rFonts w:hint="default"/>
                      <w:color w:val="auto"/>
                      <w:szCs w:val="21"/>
                      <w:lang w:val="en-US" w:eastAsia="zh-CN"/>
                    </w:rPr>
                  </w:pPr>
                  <w:r>
                    <w:rPr>
                      <w:rFonts w:hint="eastAsia"/>
                      <w:color w:val="auto"/>
                      <w:szCs w:val="21"/>
                      <w:lang w:val="en-US" w:eastAsia="zh-CN"/>
                    </w:rPr>
                    <w:t>排气量m</w:t>
                  </w:r>
                  <w:r>
                    <w:rPr>
                      <w:rFonts w:hint="eastAsia"/>
                      <w:color w:val="auto"/>
                      <w:szCs w:val="21"/>
                      <w:vertAlign w:val="superscript"/>
                      <w:lang w:val="en-US" w:eastAsia="zh-CN"/>
                    </w:rPr>
                    <w:t>3</w:t>
                  </w:r>
                  <w:r>
                    <w:rPr>
                      <w:rFonts w:hint="eastAsia"/>
                      <w:color w:val="auto"/>
                      <w:szCs w:val="21"/>
                      <w:lang w:val="en-US" w:eastAsia="zh-CN"/>
                    </w:rPr>
                    <w:t>/h</w:t>
                  </w:r>
                </w:p>
              </w:tc>
              <w:tc>
                <w:tcPr>
                  <w:tcW w:w="1669" w:type="dxa"/>
                  <w:gridSpan w:val="2"/>
                  <w:vAlign w:val="center"/>
                </w:tcPr>
                <w:p w14:paraId="65A484E3">
                  <w:pPr>
                    <w:jc w:val="center"/>
                    <w:rPr>
                      <w:rFonts w:hint="default"/>
                      <w:color w:val="auto"/>
                      <w:szCs w:val="21"/>
                      <w:lang w:val="en-US" w:eastAsia="zh-CN"/>
                    </w:rPr>
                  </w:pPr>
                  <w:r>
                    <w:rPr>
                      <w:rFonts w:hint="eastAsia"/>
                      <w:color w:val="auto"/>
                      <w:szCs w:val="21"/>
                      <w:lang w:val="en-US" w:eastAsia="zh-CN"/>
                    </w:rPr>
                    <w:t>产生情况</w:t>
                  </w:r>
                </w:p>
              </w:tc>
              <w:tc>
                <w:tcPr>
                  <w:tcW w:w="422" w:type="dxa"/>
                  <w:vMerge w:val="restart"/>
                  <w:vAlign w:val="center"/>
                </w:tcPr>
                <w:p w14:paraId="729530DA">
                  <w:pPr>
                    <w:jc w:val="center"/>
                    <w:rPr>
                      <w:rFonts w:hint="default"/>
                      <w:color w:val="auto"/>
                      <w:szCs w:val="21"/>
                      <w:lang w:val="en-US" w:eastAsia="zh-CN"/>
                    </w:rPr>
                  </w:pPr>
                  <w:r>
                    <w:rPr>
                      <w:rFonts w:hint="eastAsia"/>
                      <w:color w:val="auto"/>
                      <w:szCs w:val="21"/>
                      <w:lang w:val="en-US" w:eastAsia="zh-CN"/>
                    </w:rPr>
                    <w:t>治理措施</w:t>
                  </w:r>
                </w:p>
              </w:tc>
              <w:tc>
                <w:tcPr>
                  <w:tcW w:w="594" w:type="dxa"/>
                  <w:vMerge w:val="restart"/>
                  <w:vAlign w:val="center"/>
                </w:tcPr>
                <w:p w14:paraId="74F96238">
                  <w:pPr>
                    <w:jc w:val="center"/>
                    <w:rPr>
                      <w:rFonts w:hint="default"/>
                      <w:color w:val="auto"/>
                      <w:szCs w:val="21"/>
                      <w:lang w:val="en-US" w:eastAsia="zh-CN"/>
                    </w:rPr>
                  </w:pPr>
                  <w:r>
                    <w:rPr>
                      <w:rFonts w:hint="eastAsia"/>
                      <w:color w:val="auto"/>
                      <w:szCs w:val="21"/>
                      <w:lang w:val="en-US" w:eastAsia="zh-CN"/>
                    </w:rPr>
                    <w:t>收集效率%</w:t>
                  </w:r>
                </w:p>
              </w:tc>
              <w:tc>
                <w:tcPr>
                  <w:tcW w:w="594" w:type="dxa"/>
                  <w:vMerge w:val="restart"/>
                  <w:vAlign w:val="center"/>
                </w:tcPr>
                <w:p w14:paraId="0AA38D34">
                  <w:pPr>
                    <w:jc w:val="center"/>
                    <w:rPr>
                      <w:rFonts w:hint="default"/>
                      <w:color w:val="auto"/>
                      <w:szCs w:val="21"/>
                      <w:lang w:val="en-US" w:eastAsia="zh-CN"/>
                    </w:rPr>
                  </w:pPr>
                  <w:r>
                    <w:rPr>
                      <w:rFonts w:hint="eastAsia"/>
                      <w:color w:val="auto"/>
                      <w:szCs w:val="21"/>
                      <w:lang w:val="en-US" w:eastAsia="zh-CN"/>
                    </w:rPr>
                    <w:t>去除效率%</w:t>
                  </w:r>
                </w:p>
              </w:tc>
              <w:tc>
                <w:tcPr>
                  <w:tcW w:w="1651" w:type="dxa"/>
                  <w:gridSpan w:val="2"/>
                  <w:vAlign w:val="center"/>
                </w:tcPr>
                <w:p w14:paraId="111B01E7">
                  <w:pPr>
                    <w:jc w:val="center"/>
                    <w:rPr>
                      <w:rFonts w:hint="default"/>
                      <w:color w:val="auto"/>
                      <w:szCs w:val="21"/>
                      <w:lang w:val="en-US" w:eastAsia="zh-CN"/>
                    </w:rPr>
                  </w:pPr>
                  <w:r>
                    <w:rPr>
                      <w:rFonts w:hint="eastAsia"/>
                      <w:color w:val="auto"/>
                      <w:szCs w:val="21"/>
                      <w:lang w:val="en-US" w:eastAsia="zh-CN"/>
                    </w:rPr>
                    <w:t>排放情况</w:t>
                  </w:r>
                </w:p>
              </w:tc>
              <w:tc>
                <w:tcPr>
                  <w:tcW w:w="629" w:type="dxa"/>
                  <w:vMerge w:val="restart"/>
                  <w:vAlign w:val="center"/>
                </w:tcPr>
                <w:p w14:paraId="110DAD35">
                  <w:pPr>
                    <w:jc w:val="center"/>
                    <w:rPr>
                      <w:rFonts w:hint="default"/>
                      <w:color w:val="auto"/>
                      <w:szCs w:val="21"/>
                      <w:lang w:val="en-US" w:eastAsia="zh-CN"/>
                    </w:rPr>
                  </w:pPr>
                  <w:r>
                    <w:rPr>
                      <w:rFonts w:hint="eastAsia"/>
                      <w:color w:val="auto"/>
                      <w:szCs w:val="21"/>
                      <w:lang w:val="en-US" w:eastAsia="zh-CN"/>
                    </w:rPr>
                    <w:t>排放时间h</w:t>
                  </w:r>
                </w:p>
              </w:tc>
              <w:tc>
                <w:tcPr>
                  <w:tcW w:w="1237" w:type="dxa"/>
                  <w:vMerge w:val="restart"/>
                  <w:vAlign w:val="center"/>
                </w:tcPr>
                <w:p w14:paraId="3E6BF77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备注</w:t>
                  </w:r>
                </w:p>
              </w:tc>
            </w:tr>
            <w:tr w14:paraId="4A8F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22" w:type="dxa"/>
                  <w:vMerge w:val="continue"/>
                  <w:vAlign w:val="center"/>
                </w:tcPr>
                <w:p w14:paraId="43C5F6B9">
                  <w:pPr>
                    <w:jc w:val="center"/>
                  </w:pPr>
                </w:p>
              </w:tc>
              <w:tc>
                <w:tcPr>
                  <w:tcW w:w="422" w:type="dxa"/>
                  <w:vMerge w:val="continue"/>
                  <w:vAlign w:val="center"/>
                </w:tcPr>
                <w:p w14:paraId="5313CA0A">
                  <w:pPr>
                    <w:jc w:val="center"/>
                  </w:pPr>
                </w:p>
              </w:tc>
              <w:tc>
                <w:tcPr>
                  <w:tcW w:w="422" w:type="dxa"/>
                  <w:vMerge w:val="continue"/>
                  <w:vAlign w:val="center"/>
                </w:tcPr>
                <w:p w14:paraId="5454A956">
                  <w:pPr>
                    <w:jc w:val="center"/>
                  </w:pPr>
                </w:p>
              </w:tc>
              <w:tc>
                <w:tcPr>
                  <w:tcW w:w="628" w:type="dxa"/>
                  <w:vMerge w:val="continue"/>
                  <w:vAlign w:val="center"/>
                </w:tcPr>
                <w:p w14:paraId="4DAA8102">
                  <w:pPr>
                    <w:jc w:val="center"/>
                  </w:pPr>
                </w:p>
              </w:tc>
              <w:tc>
                <w:tcPr>
                  <w:tcW w:w="783" w:type="dxa"/>
                  <w:vAlign w:val="center"/>
                </w:tcPr>
                <w:p w14:paraId="44935728">
                  <w:pPr>
                    <w:jc w:val="center"/>
                    <w:rPr>
                      <w:rFonts w:hint="default"/>
                      <w:color w:val="auto"/>
                      <w:szCs w:val="21"/>
                      <w:lang w:val="en-US" w:eastAsia="zh-CN"/>
                    </w:rPr>
                  </w:pPr>
                  <w:r>
                    <w:rPr>
                      <w:rFonts w:hint="eastAsia"/>
                      <w:color w:val="auto"/>
                      <w:szCs w:val="21"/>
                      <w:lang w:val="en-US" w:eastAsia="zh-CN"/>
                    </w:rPr>
                    <w:t>产生量t/a</w:t>
                  </w:r>
                </w:p>
              </w:tc>
              <w:tc>
                <w:tcPr>
                  <w:tcW w:w="886" w:type="dxa"/>
                  <w:vAlign w:val="center"/>
                </w:tcPr>
                <w:p w14:paraId="3B3EA58D">
                  <w:pPr>
                    <w:jc w:val="center"/>
                    <w:rPr>
                      <w:rFonts w:hint="default"/>
                      <w:color w:val="auto"/>
                      <w:szCs w:val="21"/>
                      <w:lang w:val="en-US" w:eastAsia="zh-CN"/>
                    </w:rPr>
                  </w:pPr>
                  <w:r>
                    <w:rPr>
                      <w:rFonts w:hint="eastAsia"/>
                      <w:color w:val="auto"/>
                      <w:szCs w:val="21"/>
                      <w:lang w:val="en-US" w:eastAsia="zh-CN"/>
                    </w:rPr>
                    <w:t>产生速率kg/h</w:t>
                  </w:r>
                </w:p>
              </w:tc>
              <w:tc>
                <w:tcPr>
                  <w:tcW w:w="422" w:type="dxa"/>
                  <w:vMerge w:val="continue"/>
                  <w:vAlign w:val="center"/>
                </w:tcPr>
                <w:p w14:paraId="417F4872">
                  <w:pPr>
                    <w:jc w:val="center"/>
                    <w:rPr>
                      <w:rFonts w:hint="default"/>
                      <w:color w:val="auto"/>
                      <w:szCs w:val="21"/>
                      <w:lang w:val="en-US" w:eastAsia="zh-CN"/>
                    </w:rPr>
                  </w:pPr>
                </w:p>
              </w:tc>
              <w:tc>
                <w:tcPr>
                  <w:tcW w:w="594" w:type="dxa"/>
                  <w:vMerge w:val="continue"/>
                  <w:vAlign w:val="center"/>
                </w:tcPr>
                <w:p w14:paraId="44C98CC9">
                  <w:pPr>
                    <w:jc w:val="center"/>
                    <w:rPr>
                      <w:rFonts w:hint="default"/>
                      <w:color w:val="auto"/>
                      <w:szCs w:val="21"/>
                      <w:lang w:val="en-US" w:eastAsia="zh-CN"/>
                    </w:rPr>
                  </w:pPr>
                </w:p>
              </w:tc>
              <w:tc>
                <w:tcPr>
                  <w:tcW w:w="594" w:type="dxa"/>
                  <w:vMerge w:val="continue"/>
                  <w:vAlign w:val="center"/>
                </w:tcPr>
                <w:p w14:paraId="41B4997F">
                  <w:pPr>
                    <w:jc w:val="center"/>
                    <w:rPr>
                      <w:rFonts w:hint="default"/>
                      <w:color w:val="auto"/>
                      <w:szCs w:val="21"/>
                      <w:lang w:val="en-US" w:eastAsia="zh-CN"/>
                    </w:rPr>
                  </w:pPr>
                </w:p>
              </w:tc>
              <w:tc>
                <w:tcPr>
                  <w:tcW w:w="765" w:type="dxa"/>
                  <w:vAlign w:val="center"/>
                </w:tcPr>
                <w:p w14:paraId="43FB4201">
                  <w:pPr>
                    <w:jc w:val="center"/>
                    <w:rPr>
                      <w:rFonts w:hint="default"/>
                      <w:color w:val="auto"/>
                      <w:szCs w:val="21"/>
                      <w:lang w:val="en-US" w:eastAsia="zh-CN"/>
                    </w:rPr>
                  </w:pPr>
                  <w:r>
                    <w:rPr>
                      <w:rFonts w:hint="eastAsia"/>
                      <w:color w:val="auto"/>
                      <w:szCs w:val="21"/>
                      <w:lang w:val="en-US" w:eastAsia="zh-CN"/>
                    </w:rPr>
                    <w:t>排放浓度mg/m</w:t>
                  </w:r>
                  <w:r>
                    <w:rPr>
                      <w:rFonts w:hint="eastAsia"/>
                      <w:color w:val="auto"/>
                      <w:szCs w:val="21"/>
                      <w:vertAlign w:val="superscript"/>
                      <w:lang w:val="en-US" w:eastAsia="zh-CN"/>
                    </w:rPr>
                    <w:t>3</w:t>
                  </w:r>
                </w:p>
              </w:tc>
              <w:tc>
                <w:tcPr>
                  <w:tcW w:w="886" w:type="dxa"/>
                  <w:vAlign w:val="center"/>
                </w:tcPr>
                <w:p w14:paraId="351E0222">
                  <w:pPr>
                    <w:jc w:val="center"/>
                    <w:rPr>
                      <w:rFonts w:hint="default"/>
                      <w:color w:val="auto"/>
                      <w:szCs w:val="21"/>
                      <w:lang w:val="en-US" w:eastAsia="zh-CN"/>
                    </w:rPr>
                  </w:pPr>
                  <w:r>
                    <w:rPr>
                      <w:rFonts w:hint="eastAsia"/>
                      <w:color w:val="auto"/>
                      <w:szCs w:val="21"/>
                      <w:lang w:val="en-US" w:eastAsia="zh-CN"/>
                    </w:rPr>
                    <w:t>排放量t/a</w:t>
                  </w:r>
                </w:p>
              </w:tc>
              <w:tc>
                <w:tcPr>
                  <w:tcW w:w="629" w:type="dxa"/>
                  <w:vMerge w:val="continue"/>
                  <w:vAlign w:val="center"/>
                </w:tcPr>
                <w:p w14:paraId="493F3E1C">
                  <w:pPr>
                    <w:jc w:val="center"/>
                    <w:rPr>
                      <w:rFonts w:hint="default"/>
                      <w:color w:val="auto"/>
                      <w:szCs w:val="21"/>
                      <w:lang w:val="en-US" w:eastAsia="zh-CN"/>
                    </w:rPr>
                  </w:pPr>
                </w:p>
              </w:tc>
              <w:tc>
                <w:tcPr>
                  <w:tcW w:w="1237" w:type="dxa"/>
                  <w:vMerge w:val="continue"/>
                  <w:vAlign w:val="center"/>
                </w:tcPr>
                <w:p w14:paraId="08CE023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r>
            <w:tr w14:paraId="2665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Align w:val="center"/>
                </w:tcPr>
                <w:p w14:paraId="5B4CA0C9">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剪切、切割粉尘</w:t>
                  </w:r>
                </w:p>
              </w:tc>
              <w:tc>
                <w:tcPr>
                  <w:tcW w:w="422" w:type="dxa"/>
                  <w:vAlign w:val="center"/>
                </w:tcPr>
                <w:p w14:paraId="537AB502">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颗粒物</w:t>
                  </w:r>
                </w:p>
              </w:tc>
              <w:tc>
                <w:tcPr>
                  <w:tcW w:w="422" w:type="dxa"/>
                  <w:vAlign w:val="center"/>
                </w:tcPr>
                <w:p w14:paraId="4F4807E9">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有组织</w:t>
                  </w:r>
                </w:p>
              </w:tc>
              <w:tc>
                <w:tcPr>
                  <w:tcW w:w="628" w:type="dxa"/>
                  <w:vAlign w:val="center"/>
                </w:tcPr>
                <w:p w14:paraId="176264AA">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5000</w:t>
                  </w:r>
                </w:p>
              </w:tc>
              <w:tc>
                <w:tcPr>
                  <w:tcW w:w="783" w:type="dxa"/>
                  <w:vAlign w:val="center"/>
                </w:tcPr>
                <w:p w14:paraId="7FED7B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0.06</w:t>
                  </w:r>
                </w:p>
              </w:tc>
              <w:tc>
                <w:tcPr>
                  <w:tcW w:w="886" w:type="dxa"/>
                  <w:vAlign w:val="center"/>
                </w:tcPr>
                <w:p w14:paraId="52AE52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0.025</w:t>
                  </w:r>
                </w:p>
              </w:tc>
              <w:tc>
                <w:tcPr>
                  <w:tcW w:w="422" w:type="dxa"/>
                  <w:vAlign w:val="center"/>
                </w:tcPr>
                <w:p w14:paraId="6C4F67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集气罩+布袋除尘器</w:t>
                  </w:r>
                </w:p>
              </w:tc>
              <w:tc>
                <w:tcPr>
                  <w:tcW w:w="594" w:type="dxa"/>
                  <w:vAlign w:val="center"/>
                </w:tcPr>
                <w:p w14:paraId="6CCF65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90</w:t>
                  </w:r>
                </w:p>
              </w:tc>
              <w:tc>
                <w:tcPr>
                  <w:tcW w:w="594" w:type="dxa"/>
                  <w:vAlign w:val="center"/>
                </w:tcPr>
                <w:p w14:paraId="77B7AD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97</w:t>
                  </w:r>
                </w:p>
              </w:tc>
              <w:tc>
                <w:tcPr>
                  <w:tcW w:w="765" w:type="dxa"/>
                  <w:vAlign w:val="center"/>
                </w:tcPr>
                <w:p w14:paraId="19E1FE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0.14</w:t>
                  </w:r>
                </w:p>
              </w:tc>
              <w:tc>
                <w:tcPr>
                  <w:tcW w:w="886" w:type="dxa"/>
                  <w:vAlign w:val="center"/>
                </w:tcPr>
                <w:p w14:paraId="5B0112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0.0007</w:t>
                  </w:r>
                </w:p>
              </w:tc>
              <w:tc>
                <w:tcPr>
                  <w:tcW w:w="629" w:type="dxa"/>
                  <w:vAlign w:val="center"/>
                </w:tcPr>
                <w:p w14:paraId="1B2F88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c>
                <w:tcPr>
                  <w:tcW w:w="1237" w:type="dxa"/>
                  <w:vAlign w:val="center"/>
                </w:tcPr>
                <w:p w14:paraId="3F7E7FD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15m高排气筒（DA001）</w:t>
                  </w:r>
                </w:p>
              </w:tc>
            </w:tr>
            <w:tr w14:paraId="4207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Align w:val="center"/>
                </w:tcPr>
                <w:p w14:paraId="61D04372">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废油液回收过程</w:t>
                  </w:r>
                </w:p>
              </w:tc>
              <w:tc>
                <w:tcPr>
                  <w:tcW w:w="422" w:type="dxa"/>
                  <w:vAlign w:val="center"/>
                </w:tcPr>
                <w:p w14:paraId="77DF5B9D">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非甲烷总烃</w:t>
                  </w:r>
                </w:p>
              </w:tc>
              <w:tc>
                <w:tcPr>
                  <w:tcW w:w="422" w:type="dxa"/>
                  <w:vAlign w:val="center"/>
                </w:tcPr>
                <w:p w14:paraId="528B5B1A">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有组织</w:t>
                  </w:r>
                </w:p>
              </w:tc>
              <w:tc>
                <w:tcPr>
                  <w:tcW w:w="628" w:type="dxa"/>
                  <w:vAlign w:val="center"/>
                </w:tcPr>
                <w:p w14:paraId="43A72E67">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5000</w:t>
                  </w:r>
                </w:p>
              </w:tc>
              <w:tc>
                <w:tcPr>
                  <w:tcW w:w="783" w:type="dxa"/>
                  <w:vAlign w:val="center"/>
                </w:tcPr>
                <w:p w14:paraId="29258DE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0.0021</w:t>
                  </w:r>
                </w:p>
              </w:tc>
              <w:tc>
                <w:tcPr>
                  <w:tcW w:w="886" w:type="dxa"/>
                  <w:vAlign w:val="center"/>
                </w:tcPr>
                <w:p w14:paraId="0997F64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0.0009</w:t>
                  </w:r>
                </w:p>
              </w:tc>
              <w:tc>
                <w:tcPr>
                  <w:tcW w:w="422" w:type="dxa"/>
                  <w:vAlign w:val="center"/>
                </w:tcPr>
                <w:p w14:paraId="0D40328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集气罩+二级活性炭吸附</w:t>
                  </w:r>
                </w:p>
              </w:tc>
              <w:tc>
                <w:tcPr>
                  <w:tcW w:w="594" w:type="dxa"/>
                  <w:vAlign w:val="center"/>
                </w:tcPr>
                <w:p w14:paraId="1966DCE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90</w:t>
                  </w:r>
                </w:p>
              </w:tc>
              <w:tc>
                <w:tcPr>
                  <w:tcW w:w="594" w:type="dxa"/>
                  <w:vAlign w:val="center"/>
                </w:tcPr>
                <w:p w14:paraId="6FC2EBD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765" w:type="dxa"/>
                  <w:vAlign w:val="center"/>
                </w:tcPr>
                <w:p w14:paraId="0E1B731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0.09</w:t>
                  </w:r>
                </w:p>
              </w:tc>
              <w:tc>
                <w:tcPr>
                  <w:tcW w:w="886" w:type="dxa"/>
                  <w:vAlign w:val="center"/>
                </w:tcPr>
                <w:p w14:paraId="7439586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0.0009</w:t>
                  </w:r>
                </w:p>
              </w:tc>
              <w:tc>
                <w:tcPr>
                  <w:tcW w:w="629" w:type="dxa"/>
                  <w:vAlign w:val="center"/>
                </w:tcPr>
                <w:p w14:paraId="7DBA975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c>
                <w:tcPr>
                  <w:tcW w:w="1237" w:type="dxa"/>
                  <w:vAlign w:val="center"/>
                </w:tcPr>
                <w:p w14:paraId="0151157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15m高排气筒（DA002）</w:t>
                  </w:r>
                </w:p>
              </w:tc>
            </w:tr>
            <w:tr w14:paraId="1392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Align w:val="center"/>
                </w:tcPr>
                <w:p w14:paraId="24001A72">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废制冷剂回收过程</w:t>
                  </w:r>
                </w:p>
              </w:tc>
              <w:tc>
                <w:tcPr>
                  <w:tcW w:w="422" w:type="dxa"/>
                  <w:shd w:val="clear" w:color="auto" w:fill="auto"/>
                  <w:vAlign w:val="center"/>
                </w:tcPr>
                <w:p w14:paraId="0E8A1CF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非甲烷总烃</w:t>
                  </w:r>
                </w:p>
              </w:tc>
              <w:tc>
                <w:tcPr>
                  <w:tcW w:w="422" w:type="dxa"/>
                  <w:shd w:val="clear" w:color="auto" w:fill="auto"/>
                  <w:vAlign w:val="center"/>
                </w:tcPr>
                <w:p w14:paraId="5BAB99F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有组织</w:t>
                  </w:r>
                </w:p>
              </w:tc>
              <w:tc>
                <w:tcPr>
                  <w:tcW w:w="628" w:type="dxa"/>
                  <w:shd w:val="clear" w:color="auto" w:fill="auto"/>
                  <w:vAlign w:val="center"/>
                </w:tcPr>
                <w:p w14:paraId="7A15A34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5000</w:t>
                  </w:r>
                </w:p>
              </w:tc>
              <w:tc>
                <w:tcPr>
                  <w:tcW w:w="783" w:type="dxa"/>
                  <w:vAlign w:val="center"/>
                </w:tcPr>
                <w:p w14:paraId="1DE27C8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0.0013</w:t>
                  </w:r>
                </w:p>
              </w:tc>
              <w:tc>
                <w:tcPr>
                  <w:tcW w:w="886" w:type="dxa"/>
                  <w:vAlign w:val="center"/>
                </w:tcPr>
                <w:p w14:paraId="1B09834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0.0006</w:t>
                  </w:r>
                </w:p>
              </w:tc>
              <w:tc>
                <w:tcPr>
                  <w:tcW w:w="422" w:type="dxa"/>
                  <w:vAlign w:val="center"/>
                </w:tcPr>
                <w:p w14:paraId="41EBC622">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集气罩+二级活性炭吸附</w:t>
                  </w:r>
                </w:p>
              </w:tc>
              <w:tc>
                <w:tcPr>
                  <w:tcW w:w="594" w:type="dxa"/>
                  <w:vAlign w:val="center"/>
                </w:tcPr>
                <w:p w14:paraId="01A6A7B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90</w:t>
                  </w:r>
                </w:p>
              </w:tc>
              <w:tc>
                <w:tcPr>
                  <w:tcW w:w="594" w:type="dxa"/>
                  <w:vAlign w:val="center"/>
                </w:tcPr>
                <w:p w14:paraId="23C6B91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765" w:type="dxa"/>
                  <w:vAlign w:val="center"/>
                </w:tcPr>
                <w:p w14:paraId="16636F3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0.06</w:t>
                  </w:r>
                </w:p>
              </w:tc>
              <w:tc>
                <w:tcPr>
                  <w:tcW w:w="886" w:type="dxa"/>
                  <w:vAlign w:val="center"/>
                </w:tcPr>
                <w:p w14:paraId="33F4DF7E">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0.00074</w:t>
                  </w:r>
                </w:p>
              </w:tc>
              <w:tc>
                <w:tcPr>
                  <w:tcW w:w="629" w:type="dxa"/>
                  <w:vAlign w:val="center"/>
                </w:tcPr>
                <w:p w14:paraId="37F3AEB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c>
                <w:tcPr>
                  <w:tcW w:w="1237" w:type="dxa"/>
                  <w:vAlign w:val="center"/>
                </w:tcPr>
                <w:p w14:paraId="6A8472F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15m高排气筒（DA002）</w:t>
                  </w:r>
                </w:p>
              </w:tc>
            </w:tr>
            <w:tr w14:paraId="1BBD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restart"/>
                  <w:vAlign w:val="center"/>
                </w:tcPr>
                <w:p w14:paraId="577F7BD4">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车辆拆解车间</w:t>
                  </w:r>
                </w:p>
              </w:tc>
              <w:tc>
                <w:tcPr>
                  <w:tcW w:w="422" w:type="dxa"/>
                  <w:vAlign w:val="center"/>
                </w:tcPr>
                <w:p w14:paraId="5C6D61F5">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非甲烷总烃</w:t>
                  </w:r>
                </w:p>
              </w:tc>
              <w:tc>
                <w:tcPr>
                  <w:tcW w:w="422" w:type="dxa"/>
                  <w:vAlign w:val="center"/>
                </w:tcPr>
                <w:p w14:paraId="4C4F89B3">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无组织</w:t>
                  </w:r>
                </w:p>
              </w:tc>
              <w:tc>
                <w:tcPr>
                  <w:tcW w:w="628" w:type="dxa"/>
                  <w:vAlign w:val="center"/>
                </w:tcPr>
                <w:p w14:paraId="462B96E4">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w:t>
                  </w:r>
                </w:p>
              </w:tc>
              <w:tc>
                <w:tcPr>
                  <w:tcW w:w="783" w:type="dxa"/>
                  <w:vAlign w:val="center"/>
                </w:tcPr>
                <w:p w14:paraId="35D14A6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0.0003</w:t>
                  </w:r>
                </w:p>
              </w:tc>
              <w:tc>
                <w:tcPr>
                  <w:tcW w:w="886" w:type="dxa"/>
                  <w:vAlign w:val="center"/>
                </w:tcPr>
                <w:p w14:paraId="0EB9411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0.00013</w:t>
                  </w:r>
                </w:p>
              </w:tc>
              <w:tc>
                <w:tcPr>
                  <w:tcW w:w="422" w:type="dxa"/>
                  <w:vAlign w:val="center"/>
                </w:tcPr>
                <w:p w14:paraId="5F83616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594" w:type="dxa"/>
                  <w:vAlign w:val="center"/>
                </w:tcPr>
                <w:p w14:paraId="50F8268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594" w:type="dxa"/>
                  <w:vAlign w:val="center"/>
                </w:tcPr>
                <w:p w14:paraId="19C4985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765" w:type="dxa"/>
                  <w:vAlign w:val="center"/>
                </w:tcPr>
                <w:p w14:paraId="5AE89FF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886" w:type="dxa"/>
                  <w:vAlign w:val="center"/>
                </w:tcPr>
                <w:p w14:paraId="2CF27F4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0.0003</w:t>
                  </w:r>
                </w:p>
              </w:tc>
              <w:tc>
                <w:tcPr>
                  <w:tcW w:w="629" w:type="dxa"/>
                  <w:vMerge w:val="restart"/>
                  <w:vAlign w:val="center"/>
                </w:tcPr>
                <w:p w14:paraId="44D3E0B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c>
                <w:tcPr>
                  <w:tcW w:w="1237" w:type="dxa"/>
                  <w:vMerge w:val="restart"/>
                  <w:vAlign w:val="center"/>
                </w:tcPr>
                <w:p w14:paraId="1C07EDE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r w14:paraId="064C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Merge w:val="continue"/>
                  <w:vAlign w:val="center"/>
                </w:tcPr>
                <w:p w14:paraId="0D3BD8C4">
                  <w:pPr>
                    <w:keepNext w:val="0"/>
                    <w:keepLines w:val="0"/>
                    <w:widowControl/>
                    <w:suppressLineNumbers w:val="0"/>
                    <w:jc w:val="center"/>
                    <w:textAlignment w:val="center"/>
                    <w:rPr>
                      <w:rFonts w:hint="eastAsia"/>
                      <w:color w:val="auto"/>
                      <w:szCs w:val="21"/>
                      <w:lang w:val="en-US" w:eastAsia="zh-CN"/>
                    </w:rPr>
                  </w:pPr>
                </w:p>
              </w:tc>
              <w:tc>
                <w:tcPr>
                  <w:tcW w:w="422" w:type="dxa"/>
                  <w:vAlign w:val="center"/>
                </w:tcPr>
                <w:p w14:paraId="12CE8059">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颗粒物</w:t>
                  </w:r>
                </w:p>
              </w:tc>
              <w:tc>
                <w:tcPr>
                  <w:tcW w:w="422" w:type="dxa"/>
                  <w:vAlign w:val="center"/>
                </w:tcPr>
                <w:p w14:paraId="5CF72704">
                  <w:pPr>
                    <w:keepNext w:val="0"/>
                    <w:keepLines w:val="0"/>
                    <w:widowControl/>
                    <w:suppressLineNumbers w:val="0"/>
                    <w:jc w:val="center"/>
                    <w:textAlignment w:val="center"/>
                    <w:rPr>
                      <w:rFonts w:hint="eastAsia"/>
                      <w:color w:val="auto"/>
                      <w:szCs w:val="21"/>
                      <w:lang w:val="en-US" w:eastAsia="zh-CN"/>
                    </w:rPr>
                  </w:pPr>
                  <w:r>
                    <w:rPr>
                      <w:rFonts w:hint="eastAsia"/>
                      <w:color w:val="auto"/>
                      <w:szCs w:val="21"/>
                      <w:lang w:val="en-US" w:eastAsia="zh-CN"/>
                    </w:rPr>
                    <w:t>无组织</w:t>
                  </w:r>
                </w:p>
              </w:tc>
              <w:tc>
                <w:tcPr>
                  <w:tcW w:w="628" w:type="dxa"/>
                  <w:vAlign w:val="center"/>
                </w:tcPr>
                <w:p w14:paraId="5A59BFEF">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w:t>
                  </w:r>
                </w:p>
              </w:tc>
              <w:tc>
                <w:tcPr>
                  <w:tcW w:w="783" w:type="dxa"/>
                  <w:vAlign w:val="center"/>
                </w:tcPr>
                <w:p w14:paraId="118E621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0.006</w:t>
                  </w:r>
                </w:p>
              </w:tc>
              <w:tc>
                <w:tcPr>
                  <w:tcW w:w="886" w:type="dxa"/>
                  <w:vAlign w:val="center"/>
                </w:tcPr>
                <w:p w14:paraId="3B9357D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0.0025</w:t>
                  </w:r>
                </w:p>
              </w:tc>
              <w:tc>
                <w:tcPr>
                  <w:tcW w:w="422" w:type="dxa"/>
                  <w:vAlign w:val="center"/>
                </w:tcPr>
                <w:p w14:paraId="22B93E6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594" w:type="dxa"/>
                  <w:vAlign w:val="center"/>
                </w:tcPr>
                <w:p w14:paraId="6D5DA55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594" w:type="dxa"/>
                  <w:vAlign w:val="center"/>
                </w:tcPr>
                <w:p w14:paraId="31E84B5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765" w:type="dxa"/>
                  <w:vAlign w:val="center"/>
                </w:tcPr>
                <w:p w14:paraId="3AB6EE7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886" w:type="dxa"/>
                  <w:vAlign w:val="center"/>
                </w:tcPr>
                <w:p w14:paraId="38C2F39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0.006</w:t>
                  </w:r>
                </w:p>
              </w:tc>
              <w:tc>
                <w:tcPr>
                  <w:tcW w:w="629" w:type="dxa"/>
                  <w:vMerge w:val="continue"/>
                  <w:vAlign w:val="center"/>
                </w:tcPr>
                <w:p w14:paraId="71AA71B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1237" w:type="dxa"/>
                  <w:vMerge w:val="continue"/>
                  <w:vAlign w:val="center"/>
                </w:tcPr>
                <w:p w14:paraId="5A3629F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r>
            <w:tr w14:paraId="0D19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2" w:type="dxa"/>
                  <w:vAlign w:val="center"/>
                </w:tcPr>
                <w:p w14:paraId="37318D56">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危废暂存间</w:t>
                  </w:r>
                </w:p>
              </w:tc>
              <w:tc>
                <w:tcPr>
                  <w:tcW w:w="422" w:type="dxa"/>
                  <w:shd w:val="clear" w:color="auto" w:fill="auto"/>
                  <w:vAlign w:val="center"/>
                </w:tcPr>
                <w:p w14:paraId="7764785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非甲烷总烃</w:t>
                  </w:r>
                </w:p>
              </w:tc>
              <w:tc>
                <w:tcPr>
                  <w:tcW w:w="422" w:type="dxa"/>
                  <w:shd w:val="clear" w:color="auto" w:fill="auto"/>
                  <w:vAlign w:val="center"/>
                </w:tcPr>
                <w:p w14:paraId="74A6640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无组织</w:t>
                  </w:r>
                </w:p>
              </w:tc>
              <w:tc>
                <w:tcPr>
                  <w:tcW w:w="628" w:type="dxa"/>
                  <w:vAlign w:val="center"/>
                </w:tcPr>
                <w:p w14:paraId="14A8710B">
                  <w:pPr>
                    <w:keepNext w:val="0"/>
                    <w:keepLines w:val="0"/>
                    <w:widowControl/>
                    <w:suppressLineNumbers w:val="0"/>
                    <w:jc w:val="center"/>
                    <w:textAlignment w:val="center"/>
                    <w:rPr>
                      <w:rFonts w:hint="default"/>
                      <w:color w:val="auto"/>
                      <w:szCs w:val="21"/>
                      <w:lang w:val="en-US" w:eastAsia="zh-CN"/>
                    </w:rPr>
                  </w:pPr>
                  <w:r>
                    <w:rPr>
                      <w:rFonts w:hint="eastAsia"/>
                      <w:color w:val="auto"/>
                      <w:szCs w:val="21"/>
                      <w:lang w:val="en-US" w:eastAsia="zh-CN"/>
                    </w:rPr>
                    <w:t>/</w:t>
                  </w:r>
                </w:p>
              </w:tc>
              <w:tc>
                <w:tcPr>
                  <w:tcW w:w="783" w:type="dxa"/>
                  <w:vAlign w:val="center"/>
                </w:tcPr>
                <w:p w14:paraId="3696392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0.0021</w:t>
                  </w:r>
                </w:p>
              </w:tc>
              <w:tc>
                <w:tcPr>
                  <w:tcW w:w="886" w:type="dxa"/>
                  <w:vAlign w:val="center"/>
                </w:tcPr>
                <w:p w14:paraId="3638E94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0.0009</w:t>
                  </w:r>
                </w:p>
              </w:tc>
              <w:tc>
                <w:tcPr>
                  <w:tcW w:w="422" w:type="dxa"/>
                  <w:vAlign w:val="center"/>
                </w:tcPr>
                <w:p w14:paraId="321D74E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集气罩+二级活性炭吸附</w:t>
                  </w:r>
                </w:p>
              </w:tc>
              <w:tc>
                <w:tcPr>
                  <w:tcW w:w="594" w:type="dxa"/>
                  <w:vAlign w:val="center"/>
                </w:tcPr>
                <w:p w14:paraId="1F93A82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594" w:type="dxa"/>
                  <w:vAlign w:val="center"/>
                </w:tcPr>
                <w:p w14:paraId="23F6DE3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c>
                <w:tcPr>
                  <w:tcW w:w="765" w:type="dxa"/>
                  <w:vAlign w:val="center"/>
                </w:tcPr>
                <w:p w14:paraId="2C8A376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886" w:type="dxa"/>
                  <w:vAlign w:val="center"/>
                </w:tcPr>
                <w:p w14:paraId="495A599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0.00084</w:t>
                  </w:r>
                </w:p>
              </w:tc>
              <w:tc>
                <w:tcPr>
                  <w:tcW w:w="629" w:type="dxa"/>
                  <w:vAlign w:val="center"/>
                </w:tcPr>
                <w:p w14:paraId="281E9A1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2400</w:t>
                  </w:r>
                </w:p>
              </w:tc>
              <w:tc>
                <w:tcPr>
                  <w:tcW w:w="1237" w:type="dxa"/>
                  <w:vAlign w:val="center"/>
                </w:tcPr>
                <w:p w14:paraId="2BAF707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r>
          </w:tbl>
          <w:p w14:paraId="6F82B60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2、排放口设置情况及监测计划</w:t>
            </w:r>
          </w:p>
          <w:p w14:paraId="19B6D612">
            <w:pPr>
              <w:pStyle w:val="36"/>
              <w:numPr>
                <w:ilvl w:val="0"/>
                <w:numId w:val="0"/>
              </w:numPr>
              <w:spacing w:line="360" w:lineRule="auto"/>
              <w:ind w:firstLine="480" w:firstLineChars="200"/>
              <w:rPr>
                <w:rFonts w:ascii="宋体" w:hAnsi="宋体" w:eastAsia="宋体" w:cs="宋体"/>
                <w:sz w:val="24"/>
                <w:szCs w:val="24"/>
              </w:rPr>
            </w:pPr>
            <w:r>
              <w:rPr>
                <w:rFonts w:hint="eastAsia" w:ascii="宋体" w:hAnsi="宋体" w:cs="宋体"/>
                <w:sz w:val="24"/>
                <w:szCs w:val="24"/>
                <w:lang w:val="en-US" w:eastAsia="zh-CN"/>
              </w:rPr>
              <w:t>根据《排污单位</w:t>
            </w:r>
            <w:r>
              <w:rPr>
                <w:rFonts w:ascii="宋体" w:hAnsi="宋体" w:eastAsia="宋体" w:cs="宋体"/>
                <w:sz w:val="24"/>
                <w:szCs w:val="24"/>
              </w:rPr>
              <w:t>自行监测技术指南总则》（HJ819-2017）、《排污许可证申请与核发技术规范</w:t>
            </w:r>
            <w:r>
              <w:rPr>
                <w:rFonts w:hint="eastAsia" w:ascii="宋体" w:hAnsi="宋体" w:cs="宋体"/>
                <w:sz w:val="24"/>
                <w:szCs w:val="24"/>
                <w:lang w:val="en-US" w:eastAsia="zh-CN"/>
              </w:rPr>
              <w:t xml:space="preserve"> </w:t>
            </w:r>
            <w:r>
              <w:rPr>
                <w:rFonts w:ascii="宋体" w:hAnsi="宋体" w:eastAsia="宋体" w:cs="宋体"/>
                <w:sz w:val="24"/>
                <w:szCs w:val="24"/>
              </w:rPr>
              <w:t>废弃资源加工工业》（HJ1034—2019），制定本项目大气监测计划如下：</w:t>
            </w:r>
          </w:p>
          <w:p w14:paraId="5598E2D4">
            <w:pPr>
              <w:pStyle w:val="36"/>
              <w:numPr>
                <w:ilvl w:val="0"/>
                <w:numId w:val="0"/>
              </w:numPr>
              <w:spacing w:line="360" w:lineRule="auto"/>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表4-5         项目排放口设置及大气污染物监测计划</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863"/>
              <w:gridCol w:w="856"/>
              <w:gridCol w:w="856"/>
              <w:gridCol w:w="865"/>
              <w:gridCol w:w="788"/>
              <w:gridCol w:w="1195"/>
              <w:gridCol w:w="863"/>
              <w:gridCol w:w="827"/>
              <w:gridCol w:w="789"/>
            </w:tblGrid>
            <w:tr w14:paraId="4408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88" w:type="dxa"/>
                  <w:vMerge w:val="restart"/>
                  <w:vAlign w:val="center"/>
                </w:tcPr>
                <w:p w14:paraId="35FE48D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污染源类别</w:t>
                  </w:r>
                </w:p>
              </w:tc>
              <w:tc>
                <w:tcPr>
                  <w:tcW w:w="863" w:type="dxa"/>
                  <w:vMerge w:val="restart"/>
                  <w:vAlign w:val="center"/>
                </w:tcPr>
                <w:p w14:paraId="0632E4DE">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排污口编号及名称</w:t>
                  </w:r>
                </w:p>
              </w:tc>
              <w:tc>
                <w:tcPr>
                  <w:tcW w:w="3365" w:type="dxa"/>
                  <w:gridSpan w:val="4"/>
                  <w:vAlign w:val="center"/>
                </w:tcPr>
                <w:p w14:paraId="3C2148C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污染物产生情况排放形式</w:t>
                  </w:r>
                </w:p>
              </w:tc>
              <w:tc>
                <w:tcPr>
                  <w:tcW w:w="1195" w:type="dxa"/>
                  <w:vAlign w:val="center"/>
                </w:tcPr>
                <w:p w14:paraId="1BD9F35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排放标准</w:t>
                  </w:r>
                </w:p>
              </w:tc>
              <w:tc>
                <w:tcPr>
                  <w:tcW w:w="2479" w:type="dxa"/>
                  <w:gridSpan w:val="3"/>
                  <w:vAlign w:val="center"/>
                </w:tcPr>
                <w:p w14:paraId="52A61A7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监测要求</w:t>
                  </w:r>
                </w:p>
              </w:tc>
            </w:tr>
            <w:tr w14:paraId="4C46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88" w:type="dxa"/>
                  <w:vMerge w:val="continue"/>
                  <w:vAlign w:val="center"/>
                </w:tcPr>
                <w:p w14:paraId="0B855040">
                  <w:pPr>
                    <w:keepNext w:val="0"/>
                    <w:keepLines w:val="0"/>
                    <w:widowControl/>
                    <w:suppressLineNumbers w:val="0"/>
                    <w:jc w:val="center"/>
                    <w:textAlignment w:val="center"/>
                  </w:pPr>
                </w:p>
              </w:tc>
              <w:tc>
                <w:tcPr>
                  <w:tcW w:w="863" w:type="dxa"/>
                  <w:vMerge w:val="continue"/>
                  <w:vAlign w:val="center"/>
                </w:tcPr>
                <w:p w14:paraId="72A8581F">
                  <w:pPr>
                    <w:keepNext w:val="0"/>
                    <w:keepLines w:val="0"/>
                    <w:widowControl/>
                    <w:suppressLineNumbers w:val="0"/>
                    <w:jc w:val="center"/>
                    <w:textAlignment w:val="center"/>
                  </w:pPr>
                </w:p>
              </w:tc>
              <w:tc>
                <w:tcPr>
                  <w:tcW w:w="856" w:type="dxa"/>
                  <w:vAlign w:val="center"/>
                </w:tcPr>
                <w:p w14:paraId="4758A88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高度（m）</w:t>
                  </w:r>
                </w:p>
              </w:tc>
              <w:tc>
                <w:tcPr>
                  <w:tcW w:w="856" w:type="dxa"/>
                  <w:vAlign w:val="center"/>
                </w:tcPr>
                <w:p w14:paraId="6712367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内径（m）</w:t>
                  </w:r>
                </w:p>
              </w:tc>
              <w:tc>
                <w:tcPr>
                  <w:tcW w:w="865" w:type="dxa"/>
                  <w:vAlign w:val="center"/>
                </w:tcPr>
                <w:p w14:paraId="0CAF643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温度（℃）</w:t>
                  </w:r>
                </w:p>
              </w:tc>
              <w:tc>
                <w:tcPr>
                  <w:tcW w:w="788" w:type="dxa"/>
                  <w:vAlign w:val="center"/>
                </w:tcPr>
                <w:p w14:paraId="0125BD5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类型</w:t>
                  </w:r>
                </w:p>
              </w:tc>
              <w:tc>
                <w:tcPr>
                  <w:tcW w:w="1195" w:type="dxa"/>
                  <w:vAlign w:val="center"/>
                </w:tcPr>
                <w:p w14:paraId="2C141AD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浓度限值（</w:t>
                  </w:r>
                  <w:r>
                    <w:rPr>
                      <w:rFonts w:hint="eastAsia"/>
                      <w:color w:val="auto"/>
                      <w:szCs w:val="21"/>
                      <w:lang w:val="en-US" w:eastAsia="zh-CN"/>
                    </w:rPr>
                    <w:t>mg/m</w:t>
                  </w:r>
                  <w:r>
                    <w:rPr>
                      <w:rFonts w:hint="eastAsia"/>
                      <w:color w:val="auto"/>
                      <w:szCs w:val="21"/>
                      <w:vertAlign w:val="superscript"/>
                      <w:lang w:val="en-US" w:eastAsia="zh-CN"/>
                    </w:rPr>
                    <w:t>3</w:t>
                  </w:r>
                  <w:r>
                    <w:rPr>
                      <w:rFonts w:hint="eastAsia" w:cs="Times New Roman"/>
                      <w:i w:val="0"/>
                      <w:iCs w:val="0"/>
                      <w:color w:val="000000"/>
                      <w:kern w:val="0"/>
                      <w:sz w:val="21"/>
                      <w:szCs w:val="21"/>
                      <w:u w:val="none"/>
                      <w:lang w:val="en-US" w:eastAsia="zh-CN" w:bidi="ar"/>
                    </w:rPr>
                    <w:t>）</w:t>
                  </w:r>
                </w:p>
              </w:tc>
              <w:tc>
                <w:tcPr>
                  <w:tcW w:w="863" w:type="dxa"/>
                  <w:vAlign w:val="center"/>
                </w:tcPr>
                <w:p w14:paraId="415F5E1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监测点位</w:t>
                  </w:r>
                </w:p>
              </w:tc>
              <w:tc>
                <w:tcPr>
                  <w:tcW w:w="827" w:type="dxa"/>
                  <w:vAlign w:val="center"/>
                </w:tcPr>
                <w:p w14:paraId="4B3DCDD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监测因子</w:t>
                  </w:r>
                </w:p>
              </w:tc>
              <w:tc>
                <w:tcPr>
                  <w:tcW w:w="789" w:type="dxa"/>
                  <w:vAlign w:val="center"/>
                </w:tcPr>
                <w:p w14:paraId="0E346AE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监测频次</w:t>
                  </w:r>
                </w:p>
              </w:tc>
            </w:tr>
            <w:tr w14:paraId="75DF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dxa"/>
                  <w:vMerge w:val="restart"/>
                  <w:vAlign w:val="center"/>
                </w:tcPr>
                <w:p w14:paraId="7DE72AB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有组织</w:t>
                  </w:r>
                </w:p>
              </w:tc>
              <w:tc>
                <w:tcPr>
                  <w:tcW w:w="863" w:type="dxa"/>
                  <w:vAlign w:val="center"/>
                </w:tcPr>
                <w:p w14:paraId="5FB9A00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DA001</w:t>
                  </w:r>
                </w:p>
              </w:tc>
              <w:tc>
                <w:tcPr>
                  <w:tcW w:w="856" w:type="dxa"/>
                  <w:vAlign w:val="center"/>
                </w:tcPr>
                <w:p w14:paraId="200CFA4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w:t>
                  </w:r>
                </w:p>
              </w:tc>
              <w:tc>
                <w:tcPr>
                  <w:tcW w:w="856" w:type="dxa"/>
                  <w:vAlign w:val="center"/>
                </w:tcPr>
                <w:p w14:paraId="6350D08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w:t>
                  </w:r>
                </w:p>
              </w:tc>
              <w:tc>
                <w:tcPr>
                  <w:tcW w:w="865" w:type="dxa"/>
                  <w:vAlign w:val="center"/>
                </w:tcPr>
                <w:p w14:paraId="33B7B5D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w:t>
                  </w:r>
                </w:p>
              </w:tc>
              <w:tc>
                <w:tcPr>
                  <w:tcW w:w="788" w:type="dxa"/>
                  <w:vAlign w:val="center"/>
                </w:tcPr>
                <w:p w14:paraId="6A463C2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一般排放口</w:t>
                  </w:r>
                </w:p>
              </w:tc>
              <w:tc>
                <w:tcPr>
                  <w:tcW w:w="1195" w:type="dxa"/>
                  <w:vAlign w:val="center"/>
                </w:tcPr>
                <w:p w14:paraId="23CF04B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w:t>
                  </w:r>
                </w:p>
              </w:tc>
              <w:tc>
                <w:tcPr>
                  <w:tcW w:w="863" w:type="dxa"/>
                  <w:vAlign w:val="center"/>
                </w:tcPr>
                <w:p w14:paraId="05B6F5C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DA001排气筒监测孔</w:t>
                  </w:r>
                </w:p>
              </w:tc>
              <w:tc>
                <w:tcPr>
                  <w:tcW w:w="827" w:type="dxa"/>
                  <w:vAlign w:val="center"/>
                </w:tcPr>
                <w:p w14:paraId="298D8E9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颗粒物</w:t>
                  </w:r>
                </w:p>
              </w:tc>
              <w:tc>
                <w:tcPr>
                  <w:tcW w:w="789" w:type="dxa"/>
                  <w:vAlign w:val="center"/>
                </w:tcPr>
                <w:p w14:paraId="1C03F14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1次/年</w:t>
                  </w:r>
                </w:p>
              </w:tc>
            </w:tr>
            <w:tr w14:paraId="7946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8" w:type="dxa"/>
                  <w:vMerge w:val="continue"/>
                  <w:vAlign w:val="center"/>
                </w:tcPr>
                <w:p w14:paraId="3ACD4C7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63" w:type="dxa"/>
                  <w:shd w:val="clear" w:color="auto" w:fill="auto"/>
                  <w:vAlign w:val="center"/>
                </w:tcPr>
                <w:p w14:paraId="39A0EF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DA002</w:t>
                  </w:r>
                </w:p>
              </w:tc>
              <w:tc>
                <w:tcPr>
                  <w:tcW w:w="856" w:type="dxa"/>
                  <w:shd w:val="clear" w:color="auto" w:fill="auto"/>
                  <w:vAlign w:val="center"/>
                </w:tcPr>
                <w:p w14:paraId="5604465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15</w:t>
                  </w:r>
                </w:p>
              </w:tc>
              <w:tc>
                <w:tcPr>
                  <w:tcW w:w="856" w:type="dxa"/>
                  <w:shd w:val="clear" w:color="auto" w:fill="auto"/>
                  <w:vAlign w:val="center"/>
                </w:tcPr>
                <w:p w14:paraId="61A7AB2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0.5</w:t>
                  </w:r>
                </w:p>
              </w:tc>
              <w:tc>
                <w:tcPr>
                  <w:tcW w:w="865" w:type="dxa"/>
                  <w:shd w:val="clear" w:color="auto" w:fill="auto"/>
                  <w:vAlign w:val="center"/>
                </w:tcPr>
                <w:p w14:paraId="48CC552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25</w:t>
                  </w:r>
                </w:p>
              </w:tc>
              <w:tc>
                <w:tcPr>
                  <w:tcW w:w="788" w:type="dxa"/>
                  <w:shd w:val="clear" w:color="auto" w:fill="auto"/>
                  <w:vAlign w:val="center"/>
                </w:tcPr>
                <w:p w14:paraId="324814B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一般排放口</w:t>
                  </w:r>
                </w:p>
              </w:tc>
              <w:tc>
                <w:tcPr>
                  <w:tcW w:w="1195" w:type="dxa"/>
                  <w:shd w:val="clear" w:color="auto" w:fill="auto"/>
                  <w:vAlign w:val="center"/>
                </w:tcPr>
                <w:p w14:paraId="75D9FE5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w:t>
                  </w:r>
                </w:p>
              </w:tc>
              <w:tc>
                <w:tcPr>
                  <w:tcW w:w="863" w:type="dxa"/>
                  <w:shd w:val="clear" w:color="auto" w:fill="auto"/>
                  <w:vAlign w:val="center"/>
                </w:tcPr>
                <w:p w14:paraId="4246246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DA001排气筒监测孔</w:t>
                  </w:r>
                </w:p>
              </w:tc>
              <w:tc>
                <w:tcPr>
                  <w:tcW w:w="827" w:type="dxa"/>
                  <w:vAlign w:val="center"/>
                </w:tcPr>
                <w:p w14:paraId="49EC587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非甲烷总烃</w:t>
                  </w:r>
                </w:p>
              </w:tc>
              <w:tc>
                <w:tcPr>
                  <w:tcW w:w="789" w:type="dxa"/>
                  <w:vAlign w:val="center"/>
                </w:tcPr>
                <w:p w14:paraId="1A5E7C48">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1次/年</w:t>
                  </w:r>
                </w:p>
              </w:tc>
            </w:tr>
            <w:tr w14:paraId="7567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88" w:type="dxa"/>
                  <w:vMerge w:val="restart"/>
                  <w:vAlign w:val="center"/>
                </w:tcPr>
                <w:p w14:paraId="25CC638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无组织</w:t>
                  </w:r>
                </w:p>
              </w:tc>
              <w:tc>
                <w:tcPr>
                  <w:tcW w:w="863" w:type="dxa"/>
                  <w:vMerge w:val="restart"/>
                  <w:vAlign w:val="center"/>
                </w:tcPr>
                <w:p w14:paraId="4EC5AEB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厂界无组织废气</w:t>
                  </w:r>
                </w:p>
              </w:tc>
              <w:tc>
                <w:tcPr>
                  <w:tcW w:w="856" w:type="dxa"/>
                  <w:vMerge w:val="restart"/>
                  <w:vAlign w:val="center"/>
                </w:tcPr>
                <w:p w14:paraId="71F39F4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856" w:type="dxa"/>
                  <w:vMerge w:val="restart"/>
                  <w:vAlign w:val="center"/>
                </w:tcPr>
                <w:p w14:paraId="0CA1651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865" w:type="dxa"/>
                  <w:vMerge w:val="restart"/>
                  <w:vAlign w:val="center"/>
                </w:tcPr>
                <w:p w14:paraId="67ED91A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788" w:type="dxa"/>
                  <w:vMerge w:val="restart"/>
                  <w:vAlign w:val="center"/>
                </w:tcPr>
                <w:p w14:paraId="79BE9A7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195" w:type="dxa"/>
                  <w:vAlign w:val="center"/>
                </w:tcPr>
                <w:p w14:paraId="1784A0D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863" w:type="dxa"/>
                  <w:vMerge w:val="restart"/>
                  <w:vAlign w:val="center"/>
                </w:tcPr>
                <w:p w14:paraId="43145BE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厂界四周</w:t>
                  </w:r>
                </w:p>
              </w:tc>
              <w:tc>
                <w:tcPr>
                  <w:tcW w:w="827" w:type="dxa"/>
                  <w:vAlign w:val="center"/>
                </w:tcPr>
                <w:p w14:paraId="72003FB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颗粒物</w:t>
                  </w:r>
                </w:p>
              </w:tc>
              <w:tc>
                <w:tcPr>
                  <w:tcW w:w="789" w:type="dxa"/>
                  <w:vAlign w:val="center"/>
                </w:tcPr>
                <w:p w14:paraId="5A777D2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1次/年</w:t>
                  </w:r>
                </w:p>
              </w:tc>
            </w:tr>
            <w:tr w14:paraId="0E47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88" w:type="dxa"/>
                  <w:vMerge w:val="continue"/>
                  <w:vAlign w:val="center"/>
                </w:tcPr>
                <w:p w14:paraId="0C74A210">
                  <w:pPr>
                    <w:keepNext w:val="0"/>
                    <w:keepLines w:val="0"/>
                    <w:widowControl/>
                    <w:suppressLineNumbers w:val="0"/>
                    <w:jc w:val="center"/>
                    <w:textAlignment w:val="center"/>
                  </w:pPr>
                </w:p>
              </w:tc>
              <w:tc>
                <w:tcPr>
                  <w:tcW w:w="863" w:type="dxa"/>
                  <w:vMerge w:val="continue"/>
                  <w:vAlign w:val="center"/>
                </w:tcPr>
                <w:p w14:paraId="2D2E8125">
                  <w:pPr>
                    <w:keepNext w:val="0"/>
                    <w:keepLines w:val="0"/>
                    <w:widowControl/>
                    <w:suppressLineNumbers w:val="0"/>
                    <w:jc w:val="center"/>
                    <w:textAlignment w:val="center"/>
                  </w:pPr>
                </w:p>
              </w:tc>
              <w:tc>
                <w:tcPr>
                  <w:tcW w:w="856" w:type="dxa"/>
                  <w:vMerge w:val="continue"/>
                  <w:vAlign w:val="center"/>
                </w:tcPr>
                <w:p w14:paraId="09C89FD0">
                  <w:pPr>
                    <w:keepNext w:val="0"/>
                    <w:keepLines w:val="0"/>
                    <w:widowControl/>
                    <w:suppressLineNumbers w:val="0"/>
                    <w:jc w:val="center"/>
                    <w:textAlignment w:val="center"/>
                  </w:pPr>
                </w:p>
              </w:tc>
              <w:tc>
                <w:tcPr>
                  <w:tcW w:w="856" w:type="dxa"/>
                  <w:vMerge w:val="continue"/>
                  <w:vAlign w:val="center"/>
                </w:tcPr>
                <w:p w14:paraId="5CBE35D6">
                  <w:pPr>
                    <w:keepNext w:val="0"/>
                    <w:keepLines w:val="0"/>
                    <w:widowControl/>
                    <w:suppressLineNumbers w:val="0"/>
                    <w:jc w:val="center"/>
                    <w:textAlignment w:val="center"/>
                  </w:pPr>
                </w:p>
              </w:tc>
              <w:tc>
                <w:tcPr>
                  <w:tcW w:w="865" w:type="dxa"/>
                  <w:vMerge w:val="continue"/>
                  <w:vAlign w:val="center"/>
                </w:tcPr>
                <w:p w14:paraId="761EE153">
                  <w:pPr>
                    <w:keepNext w:val="0"/>
                    <w:keepLines w:val="0"/>
                    <w:widowControl/>
                    <w:suppressLineNumbers w:val="0"/>
                    <w:jc w:val="center"/>
                    <w:textAlignment w:val="center"/>
                  </w:pPr>
                </w:p>
              </w:tc>
              <w:tc>
                <w:tcPr>
                  <w:tcW w:w="788" w:type="dxa"/>
                  <w:vMerge w:val="continue"/>
                  <w:vAlign w:val="center"/>
                </w:tcPr>
                <w:p w14:paraId="6EA781A3">
                  <w:pPr>
                    <w:keepNext w:val="0"/>
                    <w:keepLines w:val="0"/>
                    <w:widowControl/>
                    <w:suppressLineNumbers w:val="0"/>
                    <w:jc w:val="center"/>
                    <w:textAlignment w:val="center"/>
                  </w:pPr>
                </w:p>
              </w:tc>
              <w:tc>
                <w:tcPr>
                  <w:tcW w:w="1195" w:type="dxa"/>
                  <w:vAlign w:val="center"/>
                </w:tcPr>
                <w:p w14:paraId="663EBB7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4.0</w:t>
                  </w:r>
                </w:p>
              </w:tc>
              <w:tc>
                <w:tcPr>
                  <w:tcW w:w="863" w:type="dxa"/>
                  <w:vMerge w:val="continue"/>
                  <w:vAlign w:val="center"/>
                </w:tcPr>
                <w:p w14:paraId="0054518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827" w:type="dxa"/>
                  <w:vAlign w:val="center"/>
                </w:tcPr>
                <w:p w14:paraId="6A562E6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非甲烷总烃</w:t>
                  </w:r>
                </w:p>
              </w:tc>
              <w:tc>
                <w:tcPr>
                  <w:tcW w:w="789" w:type="dxa"/>
                  <w:vAlign w:val="center"/>
                </w:tcPr>
                <w:p w14:paraId="3E4CC54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1次/年</w:t>
                  </w:r>
                </w:p>
              </w:tc>
            </w:tr>
          </w:tbl>
          <w:p w14:paraId="3ED7DB7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3、非正常工况废气排放情况分析</w:t>
            </w:r>
          </w:p>
          <w:p w14:paraId="3B7D6210">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本项目</w:t>
            </w:r>
            <w:r>
              <w:rPr>
                <w:rFonts w:ascii="宋体" w:hAnsi="宋体" w:eastAsia="宋体" w:cs="宋体"/>
                <w:sz w:val="24"/>
                <w:szCs w:val="24"/>
              </w:rPr>
              <w:t>非正常工况是指活性炭吸附装置中，活性炭未进行及时更换导致吸附效率下降，本次评价按处理效率降为0的情况作为非正常工况排放进行分析。</w:t>
            </w:r>
          </w:p>
          <w:p w14:paraId="34B40F8C">
            <w:pPr>
              <w:pStyle w:val="36"/>
              <w:numPr>
                <w:ilvl w:val="0"/>
                <w:numId w:val="0"/>
              </w:numPr>
              <w:spacing w:line="360" w:lineRule="auto"/>
              <w:ind w:firstLine="482" w:firstLineChars="200"/>
              <w:rPr>
                <w:rFonts w:hint="default" w:ascii="宋体" w:hAnsi="宋体" w:cs="宋体"/>
                <w:b/>
                <w:bCs/>
                <w:sz w:val="24"/>
                <w:szCs w:val="24"/>
                <w:lang w:val="en-US" w:eastAsia="zh-CN"/>
              </w:rPr>
            </w:pPr>
            <w:r>
              <w:rPr>
                <w:rFonts w:hint="eastAsia" w:ascii="宋体" w:hAnsi="宋体" w:cs="宋体"/>
                <w:b/>
                <w:bCs/>
                <w:sz w:val="24"/>
                <w:szCs w:val="24"/>
                <w:lang w:val="en-US" w:eastAsia="zh-CN"/>
              </w:rPr>
              <w:t>表4-6         废气非正常工况排放量核算表</w:t>
            </w:r>
          </w:p>
          <w:tbl>
            <w:tblPr>
              <w:tblStyle w:val="29"/>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978"/>
              <w:gridCol w:w="1310"/>
              <w:gridCol w:w="1305"/>
              <w:gridCol w:w="1320"/>
              <w:gridCol w:w="1116"/>
              <w:gridCol w:w="1022"/>
              <w:gridCol w:w="1203"/>
            </w:tblGrid>
            <w:tr w14:paraId="4B94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36" w:type="dxa"/>
                  <w:vAlign w:val="center"/>
                </w:tcPr>
                <w:p w14:paraId="77DD74C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序号</w:t>
                  </w:r>
                </w:p>
              </w:tc>
              <w:tc>
                <w:tcPr>
                  <w:tcW w:w="978" w:type="dxa"/>
                  <w:vAlign w:val="center"/>
                </w:tcPr>
                <w:p w14:paraId="108B6B3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污染源</w:t>
                  </w:r>
                </w:p>
              </w:tc>
              <w:tc>
                <w:tcPr>
                  <w:tcW w:w="1310" w:type="dxa"/>
                  <w:vAlign w:val="center"/>
                </w:tcPr>
                <w:p w14:paraId="5AFBAA7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污染物</w:t>
                  </w:r>
                </w:p>
              </w:tc>
              <w:tc>
                <w:tcPr>
                  <w:tcW w:w="1305" w:type="dxa"/>
                  <w:vAlign w:val="center"/>
                </w:tcPr>
                <w:p w14:paraId="077320D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非正常浓度（</w:t>
                  </w:r>
                  <w:r>
                    <w:rPr>
                      <w:rFonts w:hint="eastAsia"/>
                      <w:color w:val="auto"/>
                      <w:szCs w:val="21"/>
                      <w:lang w:val="en-US" w:eastAsia="zh-CN"/>
                    </w:rPr>
                    <w:t>mg/m</w:t>
                  </w:r>
                  <w:r>
                    <w:rPr>
                      <w:rFonts w:hint="eastAsia"/>
                      <w:color w:val="auto"/>
                      <w:szCs w:val="21"/>
                      <w:vertAlign w:val="superscript"/>
                      <w:lang w:val="en-US" w:eastAsia="zh-CN"/>
                    </w:rPr>
                    <w:t>3</w:t>
                  </w:r>
                  <w:r>
                    <w:rPr>
                      <w:rFonts w:hint="eastAsia" w:cs="Times New Roman"/>
                      <w:i w:val="0"/>
                      <w:iCs w:val="0"/>
                      <w:color w:val="000000"/>
                      <w:kern w:val="0"/>
                      <w:sz w:val="21"/>
                      <w:szCs w:val="21"/>
                      <w:u w:val="none"/>
                      <w:lang w:val="en-US" w:eastAsia="zh-CN" w:bidi="ar"/>
                    </w:rPr>
                    <w:t>）</w:t>
                  </w:r>
                </w:p>
              </w:tc>
              <w:tc>
                <w:tcPr>
                  <w:tcW w:w="1320" w:type="dxa"/>
                  <w:vAlign w:val="center"/>
                </w:tcPr>
                <w:p w14:paraId="2850A34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非正常排放速率（kg/h）</w:t>
                  </w:r>
                </w:p>
              </w:tc>
              <w:tc>
                <w:tcPr>
                  <w:tcW w:w="1116" w:type="dxa"/>
                  <w:vAlign w:val="center"/>
                </w:tcPr>
                <w:p w14:paraId="343C246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单次持续时间h</w:t>
                  </w:r>
                </w:p>
              </w:tc>
              <w:tc>
                <w:tcPr>
                  <w:tcW w:w="1022" w:type="dxa"/>
                  <w:vAlign w:val="center"/>
                </w:tcPr>
                <w:p w14:paraId="7702AFF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年发生频次/次</w:t>
                  </w:r>
                </w:p>
              </w:tc>
              <w:tc>
                <w:tcPr>
                  <w:tcW w:w="1203" w:type="dxa"/>
                  <w:vAlign w:val="center"/>
                </w:tcPr>
                <w:p w14:paraId="781A6F3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应对措施</w:t>
                  </w:r>
                </w:p>
              </w:tc>
            </w:tr>
            <w:tr w14:paraId="54B6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2FCF885E">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78" w:type="dxa"/>
                  <w:vAlign w:val="center"/>
                </w:tcPr>
                <w:p w14:paraId="520A788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DA002</w:t>
                  </w:r>
                </w:p>
              </w:tc>
              <w:tc>
                <w:tcPr>
                  <w:tcW w:w="1310" w:type="dxa"/>
                  <w:vAlign w:val="center"/>
                </w:tcPr>
                <w:p w14:paraId="0BBD78A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非甲烷总烃</w:t>
                  </w:r>
                </w:p>
              </w:tc>
              <w:tc>
                <w:tcPr>
                  <w:tcW w:w="1305" w:type="dxa"/>
                  <w:vAlign w:val="center"/>
                </w:tcPr>
                <w:p w14:paraId="1368814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0.3</w:t>
                  </w:r>
                </w:p>
              </w:tc>
              <w:tc>
                <w:tcPr>
                  <w:tcW w:w="1320" w:type="dxa"/>
                  <w:vAlign w:val="center"/>
                </w:tcPr>
                <w:p w14:paraId="0822F77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0.0015</w:t>
                  </w:r>
                </w:p>
              </w:tc>
              <w:tc>
                <w:tcPr>
                  <w:tcW w:w="1116" w:type="dxa"/>
                  <w:vAlign w:val="center"/>
                </w:tcPr>
                <w:p w14:paraId="232D855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1022" w:type="dxa"/>
                  <w:vAlign w:val="center"/>
                </w:tcPr>
                <w:p w14:paraId="736BA8C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1203" w:type="dxa"/>
                  <w:vAlign w:val="center"/>
                </w:tcPr>
                <w:p w14:paraId="0178EC6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立即停止生产，关闭排放阀，及时更换活性炭</w:t>
                  </w:r>
                </w:p>
              </w:tc>
            </w:tr>
            <w:tr w14:paraId="7A46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dxa"/>
                  <w:vAlign w:val="center"/>
                </w:tcPr>
                <w:p w14:paraId="32B2B38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78" w:type="dxa"/>
                  <w:vAlign w:val="center"/>
                </w:tcPr>
                <w:p w14:paraId="59AD88E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DA001</w:t>
                  </w:r>
                </w:p>
              </w:tc>
              <w:tc>
                <w:tcPr>
                  <w:tcW w:w="1310" w:type="dxa"/>
                  <w:vAlign w:val="center"/>
                </w:tcPr>
                <w:p w14:paraId="637D077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颗粒物</w:t>
                  </w:r>
                </w:p>
              </w:tc>
              <w:tc>
                <w:tcPr>
                  <w:tcW w:w="1305" w:type="dxa"/>
                  <w:vAlign w:val="center"/>
                </w:tcPr>
                <w:p w14:paraId="4E0494D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5</w:t>
                  </w:r>
                </w:p>
              </w:tc>
              <w:tc>
                <w:tcPr>
                  <w:tcW w:w="1320" w:type="dxa"/>
                  <w:vAlign w:val="center"/>
                </w:tcPr>
                <w:p w14:paraId="304010B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0.025</w:t>
                  </w:r>
                </w:p>
              </w:tc>
              <w:tc>
                <w:tcPr>
                  <w:tcW w:w="1116" w:type="dxa"/>
                  <w:vAlign w:val="center"/>
                </w:tcPr>
                <w:p w14:paraId="7036AAF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1022" w:type="dxa"/>
                  <w:vAlign w:val="center"/>
                </w:tcPr>
                <w:p w14:paraId="06FE310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1203" w:type="dxa"/>
                  <w:vAlign w:val="center"/>
                </w:tcPr>
                <w:p w14:paraId="44EBF1E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立即停止生产，关闭排放阀，及时检修出布袋除尘器</w:t>
                  </w:r>
                </w:p>
              </w:tc>
            </w:tr>
          </w:tbl>
          <w:p w14:paraId="6B9E0E9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ascii="宋体" w:hAnsi="宋体" w:eastAsia="宋体" w:cs="宋体"/>
                <w:sz w:val="24"/>
                <w:szCs w:val="24"/>
                <w:lang w:val="en-US" w:eastAsia="zh-CN"/>
              </w:rPr>
            </w:pPr>
            <w:r>
              <w:rPr>
                <w:rFonts w:hint="eastAsia" w:cs="Times New Roman"/>
                <w:b/>
                <w:bCs/>
                <w:color w:val="auto"/>
                <w:kern w:val="44"/>
                <w:sz w:val="24"/>
                <w:szCs w:val="24"/>
                <w:highlight w:val="none"/>
                <w:lang w:val="en-US" w:eastAsia="zh-CN"/>
              </w:rPr>
              <w:t>4、</w:t>
            </w:r>
            <w:r>
              <w:rPr>
                <w:rFonts w:hint="eastAsia" w:ascii="Times New Roman" w:hAnsi="Times New Roman" w:eastAsia="宋体" w:cs="Times New Roman"/>
                <w:b/>
                <w:bCs/>
                <w:color w:val="auto"/>
                <w:kern w:val="44"/>
                <w:sz w:val="24"/>
                <w:szCs w:val="24"/>
                <w:highlight w:val="none"/>
                <w:lang w:val="en-US" w:eastAsia="zh-CN"/>
              </w:rPr>
              <w:t>大气污染防治措施及达标分析</w:t>
            </w:r>
          </w:p>
          <w:p w14:paraId="013E978F">
            <w:pPr>
              <w:pStyle w:val="36"/>
              <w:numPr>
                <w:ilvl w:val="0"/>
                <w:numId w:val="0"/>
              </w:numPr>
              <w:spacing w:line="360" w:lineRule="auto"/>
              <w:rPr>
                <w:rFonts w:hint="eastAsia" w:ascii="宋体" w:hAnsi="宋体" w:cs="宋体"/>
                <w:b/>
                <w:bCs/>
                <w:sz w:val="24"/>
                <w:szCs w:val="24"/>
                <w:lang w:val="en-US" w:eastAsia="zh-CN"/>
              </w:rPr>
            </w:pPr>
            <w:r>
              <w:rPr>
                <w:rFonts w:hint="eastAsia" w:ascii="Times New Roman" w:hAnsi="Times New Roman" w:eastAsia="宋体" w:cs="Times New Roman"/>
                <w:b/>
                <w:bCs/>
                <w:color w:val="auto"/>
                <w:kern w:val="44"/>
                <w:sz w:val="24"/>
                <w:szCs w:val="24"/>
                <w:highlight w:val="none"/>
                <w:lang w:val="en-US" w:eastAsia="zh-CN"/>
              </w:rPr>
              <w:t>4.1、有组织废气防治措施可行性分析</w:t>
            </w:r>
          </w:p>
          <w:p w14:paraId="691E17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ascii="Times New Roman" w:hAnsi="Times New Roman" w:cs="Times New Roman"/>
                <w:color w:val="auto"/>
                <w:sz w:val="24"/>
                <w:szCs w:val="24"/>
                <w:highlight w:val="none"/>
              </w:rPr>
              <w:t>废气处理工艺原理</w:t>
            </w:r>
          </w:p>
          <w:p w14:paraId="3BFEAA3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rPr>
              <w:t>①</w:t>
            </w:r>
            <w:r>
              <w:rPr>
                <w:rFonts w:hint="eastAsia" w:cs="Times New Roman"/>
                <w:color w:val="auto"/>
                <w:sz w:val="24"/>
                <w:szCs w:val="24"/>
                <w:highlight w:val="none"/>
                <w:lang w:val="en-US" w:eastAsia="zh-CN"/>
              </w:rPr>
              <w:t>废气收集效率</w:t>
            </w:r>
          </w:p>
          <w:p w14:paraId="6F6B28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bidi="ar"/>
              </w:rPr>
              <w:t>根据《主要污染物总量减排核算技术指南》（2022年修订）中表2-3可知，</w:t>
            </w:r>
            <w:r>
              <w:rPr>
                <w:rFonts w:hint="eastAsia" w:ascii="Times New Roman" w:hAnsi="Times New Roman" w:eastAsia="宋体" w:cs="Times New Roman"/>
                <w:b w:val="0"/>
                <w:bCs w:val="0"/>
                <w:color w:val="auto"/>
                <w:kern w:val="0"/>
                <w:sz w:val="24"/>
                <w:szCs w:val="24"/>
                <w:highlight w:val="none"/>
                <w:lang w:val="en-US" w:eastAsia="zh-CN" w:bidi="ar"/>
              </w:rPr>
              <w:t>密闭空间</w:t>
            </w:r>
            <w:r>
              <w:rPr>
                <w:rFonts w:hint="eastAsia" w:eastAsia="宋体" w:cs="Times New Roman"/>
                <w:b w:val="0"/>
                <w:bCs w:val="0"/>
                <w:color w:val="auto"/>
                <w:kern w:val="0"/>
                <w:sz w:val="24"/>
                <w:szCs w:val="24"/>
                <w:highlight w:val="none"/>
                <w:lang w:val="en-US" w:eastAsia="zh-CN" w:bidi="ar"/>
              </w:rPr>
              <w:t>负</w:t>
            </w:r>
            <w:r>
              <w:rPr>
                <w:rFonts w:hint="default" w:ascii="Times New Roman" w:hAnsi="Times New Roman" w:eastAsia="宋体" w:cs="Times New Roman"/>
                <w:b w:val="0"/>
                <w:bCs w:val="0"/>
                <w:color w:val="auto"/>
                <w:kern w:val="0"/>
                <w:sz w:val="24"/>
                <w:szCs w:val="24"/>
                <w:highlight w:val="none"/>
                <w:lang w:val="en-US" w:eastAsia="zh-CN" w:bidi="ar"/>
              </w:rPr>
              <w:t>压式</w:t>
            </w:r>
            <w:r>
              <w:rPr>
                <w:rFonts w:hint="eastAsia" w:ascii="Times New Roman" w:hAnsi="Times New Roman" w:eastAsia="宋体" w:cs="Times New Roman"/>
                <w:b w:val="0"/>
                <w:bCs w:val="0"/>
                <w:color w:val="auto"/>
                <w:kern w:val="0"/>
                <w:sz w:val="24"/>
                <w:szCs w:val="24"/>
                <w:highlight w:val="none"/>
                <w:lang w:val="en-US" w:eastAsia="zh-CN" w:bidi="ar"/>
              </w:rPr>
              <w:t>废气</w:t>
            </w:r>
            <w:r>
              <w:rPr>
                <w:rFonts w:hint="default" w:ascii="Times New Roman" w:hAnsi="Times New Roman" w:eastAsia="宋体" w:cs="Times New Roman"/>
                <w:b w:val="0"/>
                <w:bCs w:val="0"/>
                <w:color w:val="auto"/>
                <w:kern w:val="0"/>
                <w:sz w:val="24"/>
                <w:szCs w:val="24"/>
                <w:highlight w:val="none"/>
                <w:lang w:val="en-US" w:eastAsia="zh-CN" w:bidi="ar"/>
              </w:rPr>
              <w:t>收集效率</w:t>
            </w:r>
            <w:r>
              <w:rPr>
                <w:rFonts w:hint="eastAsia" w:eastAsia="宋体" w:cs="Times New Roman"/>
                <w:b w:val="0"/>
                <w:bCs w:val="0"/>
                <w:color w:val="auto"/>
                <w:kern w:val="0"/>
                <w:sz w:val="24"/>
                <w:szCs w:val="24"/>
                <w:highlight w:val="none"/>
                <w:lang w:val="en-US" w:eastAsia="zh-CN" w:bidi="ar"/>
              </w:rPr>
              <w:t>9</w:t>
            </w:r>
            <w:r>
              <w:rPr>
                <w:rFonts w:hint="default" w:ascii="Times New Roman" w:hAnsi="Times New Roman" w:eastAsia="宋体" w:cs="Times New Roman"/>
                <w:b w:val="0"/>
                <w:bCs w:val="0"/>
                <w:color w:val="auto"/>
                <w:kern w:val="0"/>
                <w:sz w:val="24"/>
                <w:szCs w:val="24"/>
                <w:highlight w:val="none"/>
                <w:lang w:val="en-US" w:eastAsia="zh-CN" w:bidi="ar"/>
              </w:rPr>
              <w:t>0%</w:t>
            </w:r>
            <w:r>
              <w:rPr>
                <w:rFonts w:hint="eastAsia" w:ascii="Times New Roman" w:hAnsi="Times New Roman" w:eastAsia="宋体" w:cs="Times New Roman"/>
                <w:b w:val="0"/>
                <w:bCs w:val="0"/>
                <w:color w:val="auto"/>
                <w:kern w:val="0"/>
                <w:sz w:val="24"/>
                <w:szCs w:val="24"/>
                <w:highlight w:val="none"/>
                <w:lang w:val="en-US" w:eastAsia="zh-CN" w:bidi="ar"/>
              </w:rPr>
              <w:t>。</w:t>
            </w:r>
          </w:p>
          <w:p w14:paraId="0ED14020">
            <w:pPr>
              <w:pStyle w:val="36"/>
              <w:numPr>
                <w:ilvl w:val="0"/>
                <w:numId w:val="0"/>
              </w:numPr>
              <w:spacing w:line="360" w:lineRule="auto"/>
              <w:ind w:firstLine="480" w:firstLineChars="200"/>
              <w:rPr>
                <w:rFonts w:ascii="Times New Roman" w:hAnsi="Times New Roman" w:cs="Times New Roman"/>
                <w:color w:val="auto"/>
                <w:sz w:val="24"/>
                <w:szCs w:val="24"/>
                <w:highlight w:val="none"/>
              </w:rPr>
            </w:pPr>
            <w:r>
              <w:rPr>
                <w:rFonts w:hint="eastAsia" w:cs="Times New Roman"/>
                <w:color w:val="auto"/>
                <w:sz w:val="24"/>
                <w:szCs w:val="24"/>
                <w:highlight w:val="none"/>
              </w:rPr>
              <w:t>②</w:t>
            </w:r>
            <w:r>
              <w:rPr>
                <w:rFonts w:ascii="Times New Roman" w:hAnsi="Times New Roman" w:cs="Times New Roman"/>
                <w:color w:val="auto"/>
                <w:sz w:val="24"/>
                <w:szCs w:val="24"/>
                <w:highlight w:val="none"/>
              </w:rPr>
              <w:t>布袋除尘原理：含尘空气由顶部入口进入布袋除尘器，较大的粉尘颗粒因截面积增大，风速下降而提高直接沉降，较小的烟尘粉尘颗粒通过布袋。粉尘被捕集在过布袋外边，清洁空气则经由布袋中心进入清洁空气室，再经出口由引风机排出。随着过滤不断进行，布袋表面的烟尘粉尘越积越多，阻力不断升高，及至布袋清灰时，固态控制将操纵电磁阀以打开一个空气隔膜阀，于是高压空气便直接冲入所选滤芯中心，把捕集在滤件表面上的粉尘吹扫一清，使布袋再生。粉尘则随主气流所趋，并在重力的作用下向下落入尘斗中。周而复始，连续过滤，使设备连续进行得到保障。</w:t>
            </w:r>
          </w:p>
          <w:p w14:paraId="7BC33E79">
            <w:pPr>
              <w:pStyle w:val="36"/>
              <w:numPr>
                <w:ilvl w:val="0"/>
                <w:numId w:val="0"/>
              </w:numPr>
              <w:spacing w:line="360" w:lineRule="auto"/>
              <w:ind w:firstLine="480" w:firstLineChars="200"/>
              <w:rPr>
                <w:rFonts w:hint="default"/>
                <w:lang w:val="en-US" w:eastAsia="zh-CN"/>
              </w:rPr>
            </w:pPr>
            <w:r>
              <w:rPr>
                <w:rFonts w:hint="eastAsia"/>
                <w:lang w:val="en-US" w:eastAsia="zh-CN"/>
              </w:rPr>
              <w:t>（2）措施可行性分析</w:t>
            </w:r>
          </w:p>
          <w:p w14:paraId="638E17D6">
            <w:pPr>
              <w:pStyle w:val="36"/>
              <w:numPr>
                <w:ilvl w:val="0"/>
                <w:numId w:val="0"/>
              </w:numPr>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①废油液挥发废气</w:t>
            </w:r>
          </w:p>
          <w:p w14:paraId="75A6DC6A">
            <w:pPr>
              <w:pStyle w:val="36"/>
              <w:numPr>
                <w:ilvl w:val="0"/>
                <w:numId w:val="0"/>
              </w:numPr>
              <w:spacing w:line="360" w:lineRule="auto"/>
              <w:ind w:firstLine="480" w:firstLineChars="200"/>
              <w:rPr>
                <w:rFonts w:hint="eastAsia"/>
                <w:lang w:val="en-US" w:eastAsia="zh-CN"/>
              </w:rPr>
            </w:pPr>
            <w:r>
              <w:rPr>
                <w:rFonts w:hint="eastAsia"/>
                <w:lang w:val="en-US" w:eastAsia="zh-CN"/>
              </w:rPr>
              <w:t>项目拆解过程中主要涉及燃油挥发性有机废气排放。根据《十三五挥发性有机物污染防治工作方案》（环大气[2017]121号）要求，通过对各种治理技术的比对，废油收集回收过程设置在封闭式车间，采用专用密闭式真空收集器收集，收集的废油采用密闭式包装桶进行包装，并严格按危险废物管理和处置要求进行处置；挥发性有机废气产生区域设置收集罩+二级活性炭吸附后通过15米高排气筒排放，有少量无组织排放。参考北京化工大学陈良杰发表的《颗粒活性炭对多组分有机气体的吸附研究》一文可知，三级活性炭对苯系物、甲醇废气以及含烷烃废气等挥发性有机废气吸附效率皆可达到97%以上，按此推算，本项目采用二级活性炭吸附装置，吸附效率至少可达60%以上，本次按60%计算。</w:t>
            </w:r>
          </w:p>
          <w:p w14:paraId="0140AD69">
            <w:pPr>
              <w:pStyle w:val="36"/>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lang w:val="en-US" w:eastAsia="zh-CN"/>
              </w:rPr>
              <w:t>由项目工艺废气产排情况一览表可知，项目废油液挥发的有机废气非甲烷总烃经活性炭吸附处理后，处理效率按60%考虑，排放浓度可满足《大气污染物综合排放标准》</w:t>
            </w:r>
            <w:r>
              <w:rPr>
                <w:rFonts w:ascii="宋体" w:hAnsi="宋体" w:eastAsia="宋体" w:cs="宋体"/>
                <w:sz w:val="24"/>
                <w:szCs w:val="24"/>
              </w:rPr>
              <w:t>（GB16297-1996）中表2二级标准要求。</w:t>
            </w:r>
          </w:p>
          <w:p w14:paraId="664FA475">
            <w:pPr>
              <w:pStyle w:val="36"/>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②</w:t>
            </w:r>
            <w:r>
              <w:rPr>
                <w:rFonts w:hint="eastAsia" w:ascii="宋体" w:hAnsi="宋体" w:eastAsia="宋体" w:cs="宋体"/>
                <w:sz w:val="24"/>
                <w:szCs w:val="24"/>
                <w:lang w:val="en-US" w:eastAsia="zh-CN"/>
              </w:rPr>
              <w:t>剪切、切割粉尘</w:t>
            </w:r>
          </w:p>
          <w:p w14:paraId="257B2B81">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针对切割产生的颗粒物，项目拟使用集气罩+布袋除尘器进行收集处理，根据《排污许可证申请与核发技术规范 废弃资源加工工艺》（HJ1034-2019）可知，集气罩+布袋除尘器处理工艺可行。</w:t>
            </w:r>
          </w:p>
          <w:p w14:paraId="4A804F3F">
            <w:pPr>
              <w:pStyle w:val="36"/>
              <w:numPr>
                <w:ilvl w:val="0"/>
                <w:numId w:val="0"/>
              </w:numPr>
              <w:spacing w:line="360" w:lineRule="auto"/>
              <w:rPr>
                <w:rFonts w:hint="default" w:ascii="宋体" w:hAnsi="宋体" w:eastAsia="宋体" w:cs="宋体"/>
                <w:sz w:val="24"/>
                <w:szCs w:val="24"/>
                <w:lang w:val="en-US" w:eastAsia="zh-CN"/>
              </w:rPr>
            </w:pPr>
            <w:r>
              <w:rPr>
                <w:rFonts w:hint="eastAsia" w:ascii="Times New Roman" w:hAnsi="Times New Roman" w:eastAsia="宋体" w:cs="Times New Roman"/>
                <w:b/>
                <w:bCs/>
                <w:color w:val="auto"/>
                <w:kern w:val="44"/>
                <w:sz w:val="24"/>
                <w:szCs w:val="24"/>
                <w:highlight w:val="none"/>
                <w:lang w:val="en-US" w:eastAsia="zh-CN"/>
              </w:rPr>
              <w:t>4.2、无组织废气</w:t>
            </w:r>
            <w:r>
              <w:rPr>
                <w:rFonts w:hint="default" w:ascii="Times New Roman" w:hAnsi="Times New Roman" w:eastAsia="宋体" w:cs="Times New Roman"/>
                <w:b/>
                <w:bCs/>
                <w:color w:val="auto"/>
                <w:kern w:val="44"/>
                <w:sz w:val="24"/>
                <w:szCs w:val="24"/>
                <w:highlight w:val="none"/>
                <w:lang w:val="en-US" w:eastAsia="zh-CN"/>
              </w:rPr>
              <w:t>防治措施</w:t>
            </w:r>
            <w:r>
              <w:rPr>
                <w:rFonts w:hint="eastAsia" w:ascii="Times New Roman" w:hAnsi="Times New Roman" w:eastAsia="宋体" w:cs="Times New Roman"/>
                <w:b/>
                <w:bCs/>
                <w:color w:val="auto"/>
                <w:kern w:val="44"/>
                <w:sz w:val="24"/>
                <w:szCs w:val="24"/>
                <w:highlight w:val="none"/>
                <w:lang w:val="en-US" w:eastAsia="zh-CN"/>
              </w:rPr>
              <w:t>可行性</w:t>
            </w:r>
            <w:r>
              <w:rPr>
                <w:rFonts w:hint="default" w:ascii="Times New Roman" w:hAnsi="Times New Roman" w:eastAsia="宋体" w:cs="Times New Roman"/>
                <w:b/>
                <w:bCs/>
                <w:color w:val="auto"/>
                <w:kern w:val="44"/>
                <w:sz w:val="24"/>
                <w:szCs w:val="24"/>
                <w:highlight w:val="none"/>
                <w:lang w:val="en-US" w:eastAsia="zh-CN"/>
              </w:rPr>
              <w:t>分析</w:t>
            </w:r>
          </w:p>
          <w:p w14:paraId="33D066F8">
            <w:pPr>
              <w:pStyle w:val="36"/>
              <w:numPr>
                <w:ilvl w:val="0"/>
                <w:numId w:val="0"/>
              </w:numPr>
              <w:spacing w:line="360" w:lineRule="auto"/>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项目生产线置于全封闭式厂房内，无组织有机废气主要为生产过程中集气罩未收集部分，其产生量较小。</w:t>
            </w:r>
          </w:p>
          <w:p w14:paraId="0EDB30EA">
            <w:pPr>
              <w:pStyle w:val="36"/>
              <w:numPr>
                <w:ilvl w:val="0"/>
                <w:numId w:val="0"/>
              </w:numPr>
              <w:spacing w:line="360" w:lineRule="auto"/>
              <w:ind w:firstLine="480" w:firstLineChars="200"/>
              <w:rPr>
                <w:rFonts w:ascii="宋体" w:hAnsi="宋体" w:eastAsia="宋体" w:cs="宋体"/>
                <w:sz w:val="24"/>
                <w:szCs w:val="24"/>
              </w:rPr>
            </w:pPr>
            <w:r>
              <w:rPr>
                <w:rFonts w:hint="eastAsia" w:ascii="Times New Roman" w:hAnsi="Times New Roman" w:eastAsia="宋体"/>
                <w:lang w:val="en-US" w:eastAsia="zh-CN"/>
              </w:rPr>
              <w:t>根据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
              </w:rPr>
              <w:t>挥发性有机物（</w:t>
            </w:r>
            <w:r>
              <w:rPr>
                <w:rFonts w:hint="default" w:ascii="Times New Roman" w:hAnsi="Times New Roman" w:eastAsia="宋体" w:cs="Times New Roman"/>
                <w:color w:val="auto"/>
                <w:kern w:val="0"/>
                <w:sz w:val="24"/>
                <w:szCs w:val="24"/>
                <w:highlight w:val="none"/>
                <w:lang w:val="en-US" w:eastAsia="zh-CN" w:bidi="ar"/>
              </w:rPr>
              <w:t>VOCs</w:t>
            </w:r>
            <w:r>
              <w:rPr>
                <w:rFonts w:hint="eastAsia" w:ascii="Times New Roman" w:hAnsi="Times New Roman" w:eastAsia="宋体" w:cs="Times New Roman"/>
                <w:color w:val="auto"/>
                <w:kern w:val="0"/>
                <w:sz w:val="24"/>
                <w:szCs w:val="24"/>
                <w:highlight w:val="none"/>
                <w:lang w:val="en-US" w:eastAsia="zh-CN" w:bidi="ar"/>
              </w:rPr>
              <w:t>）污染防治技术政策》（公告2013年第31号）</w:t>
            </w:r>
            <w:r>
              <w:rPr>
                <w:rFonts w:hint="eastAsia" w:cs="Times New Roman"/>
                <w:color w:val="auto"/>
                <w:kern w:val="0"/>
                <w:sz w:val="24"/>
                <w:szCs w:val="24"/>
                <w:highlight w:val="none"/>
                <w:lang w:val="en-US" w:eastAsia="zh-CN" w:bidi="ar"/>
              </w:rPr>
              <w:t>、</w:t>
            </w:r>
            <w:r>
              <w:rPr>
                <w:rFonts w:hint="eastAsia" w:ascii="Times New Roman" w:hAnsi="Times New Roman" w:eastAsia="宋体"/>
                <w:lang w:val="en-US" w:eastAsia="zh-CN"/>
              </w:rPr>
              <w:t>《挥发性有机物无组织排放控制标准》（GB 37822—2019）和</w:t>
            </w:r>
            <w:r>
              <w:rPr>
                <w:rFonts w:ascii="宋体" w:hAnsi="宋体" w:eastAsia="宋体" w:cs="宋体"/>
                <w:sz w:val="24"/>
                <w:szCs w:val="24"/>
              </w:rPr>
              <w:t>《排污许可证申请与核发技术规范</w:t>
            </w:r>
            <w:r>
              <w:rPr>
                <w:rFonts w:hint="eastAsia" w:ascii="宋体" w:hAnsi="宋体" w:cs="宋体"/>
                <w:sz w:val="24"/>
                <w:szCs w:val="24"/>
                <w:lang w:val="en-US" w:eastAsia="zh-CN"/>
              </w:rPr>
              <w:t xml:space="preserve"> </w:t>
            </w:r>
            <w:r>
              <w:rPr>
                <w:rFonts w:ascii="宋体" w:hAnsi="宋体" w:eastAsia="宋体" w:cs="宋体"/>
                <w:sz w:val="24"/>
                <w:szCs w:val="24"/>
              </w:rPr>
              <w:t>废弃资源加工工业》（HJ1034—2019）</w:t>
            </w:r>
            <w:r>
              <w:rPr>
                <w:rFonts w:hint="eastAsia" w:ascii="Times New Roman" w:hAnsi="Times New Roman" w:eastAsia="宋体"/>
                <w:lang w:val="en-US" w:eastAsia="zh-CN"/>
              </w:rPr>
              <w:t>中排污单位无组织排放控制要求，与本项目采取的治理措施对比，详见下表。</w:t>
            </w:r>
          </w:p>
          <w:p w14:paraId="392534C6">
            <w:pPr>
              <w:ind w:firstLine="482" w:firstLineChars="200"/>
              <w:jc w:val="both"/>
              <w:rPr>
                <w:b/>
                <w:color w:val="auto"/>
                <w:sz w:val="24"/>
                <w:highlight w:val="none"/>
              </w:rPr>
            </w:pPr>
            <w:r>
              <w:rPr>
                <w:b/>
                <w:color w:val="auto"/>
                <w:sz w:val="24"/>
                <w:highlight w:val="none"/>
              </w:rPr>
              <w:t>表</w:t>
            </w:r>
            <w:r>
              <w:rPr>
                <w:rFonts w:hint="eastAsia"/>
                <w:b/>
                <w:color w:val="auto"/>
                <w:sz w:val="24"/>
                <w:highlight w:val="none"/>
                <w:lang w:val="en-US" w:eastAsia="zh-CN"/>
              </w:rPr>
              <w:t>4-7</w:t>
            </w:r>
            <w:r>
              <w:rPr>
                <w:b/>
                <w:color w:val="auto"/>
                <w:sz w:val="24"/>
                <w:highlight w:val="none"/>
              </w:rPr>
              <w:t xml:space="preserve">    </w:t>
            </w:r>
            <w:r>
              <w:rPr>
                <w:rFonts w:hint="eastAsia"/>
                <w:b/>
                <w:color w:val="auto"/>
                <w:sz w:val="24"/>
                <w:highlight w:val="none"/>
                <w:lang w:val="en-US" w:eastAsia="zh-CN"/>
              </w:rPr>
              <w:t xml:space="preserve">     无组织废气</w:t>
            </w:r>
            <w:r>
              <w:rPr>
                <w:rFonts w:hint="eastAsia"/>
                <w:b/>
                <w:color w:val="auto"/>
                <w:sz w:val="24"/>
                <w:highlight w:val="none"/>
              </w:rPr>
              <w:t>污染防治可行技术对比表</w:t>
            </w:r>
          </w:p>
          <w:tbl>
            <w:tblPr>
              <w:tblStyle w:val="28"/>
              <w:tblW w:w="49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61"/>
              <w:gridCol w:w="3574"/>
              <w:gridCol w:w="1785"/>
              <w:gridCol w:w="1920"/>
              <w:gridCol w:w="649"/>
            </w:tblGrid>
            <w:tr w14:paraId="0B5EF3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435" w:type="pct"/>
                  <w:noWrap w:val="0"/>
                  <w:vAlign w:val="center"/>
                </w:tcPr>
                <w:p w14:paraId="0258BEB2">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val="en-US" w:eastAsia="zh-CN"/>
                    </w:rPr>
                    <w:t>污染物</w:t>
                  </w:r>
                </w:p>
              </w:tc>
              <w:tc>
                <w:tcPr>
                  <w:tcW w:w="2217" w:type="pct"/>
                  <w:noWrap w:val="0"/>
                  <w:vAlign w:val="center"/>
                </w:tcPr>
                <w:p w14:paraId="61758D1B">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无组织排放控制要求</w:t>
                  </w:r>
                </w:p>
              </w:tc>
              <w:tc>
                <w:tcPr>
                  <w:tcW w:w="1188" w:type="pct"/>
                  <w:noWrap w:val="0"/>
                  <w:vAlign w:val="center"/>
                </w:tcPr>
                <w:p w14:paraId="63B5967B">
                  <w:pPr>
                    <w:keepNext w:val="0"/>
                    <w:keepLines w:val="0"/>
                    <w:pageBreakBefore w:val="0"/>
                    <w:kinsoku/>
                    <w:wordWrap/>
                    <w:overflowPunct/>
                    <w:topLinePunct w:val="0"/>
                    <w:bidi w:val="0"/>
                    <w:spacing w:line="240" w:lineRule="auto"/>
                    <w:ind w:left="0"/>
                    <w:jc w:val="center"/>
                    <w:textAlignment w:val="auto"/>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本项目治理措施</w:t>
                  </w:r>
                </w:p>
              </w:tc>
              <w:tc>
                <w:tcPr>
                  <w:tcW w:w="624" w:type="pct"/>
                  <w:noWrap w:val="0"/>
                  <w:vAlign w:val="center"/>
                </w:tcPr>
                <w:p w14:paraId="159BAD48">
                  <w:pPr>
                    <w:spacing w:line="240" w:lineRule="atLeast"/>
                    <w:jc w:val="center"/>
                    <w:rPr>
                      <w:rFonts w:hint="default"/>
                      <w:bCs/>
                      <w:color w:val="auto"/>
                      <w:szCs w:val="21"/>
                      <w:highlight w:val="none"/>
                      <w:lang w:val="en-US" w:eastAsia="zh-CN"/>
                    </w:rPr>
                  </w:pPr>
                  <w:r>
                    <w:rPr>
                      <w:rFonts w:hint="eastAsia"/>
                      <w:bCs/>
                      <w:color w:val="auto"/>
                      <w:szCs w:val="21"/>
                      <w:highlight w:val="none"/>
                      <w:lang w:val="en-US" w:eastAsia="zh-CN"/>
                    </w:rPr>
                    <w:t>依据</w:t>
                  </w:r>
                </w:p>
              </w:tc>
              <w:tc>
                <w:tcPr>
                  <w:tcW w:w="534" w:type="pct"/>
                  <w:noWrap w:val="0"/>
                  <w:vAlign w:val="center"/>
                </w:tcPr>
                <w:p w14:paraId="1355A4F2">
                  <w:pPr>
                    <w:spacing w:line="240" w:lineRule="atLeast"/>
                    <w:jc w:val="center"/>
                    <w:rPr>
                      <w:rFonts w:hint="eastAsia"/>
                      <w:bCs/>
                      <w:color w:val="auto"/>
                      <w:szCs w:val="21"/>
                      <w:highlight w:val="none"/>
                      <w:lang w:eastAsia="zh-CN"/>
                    </w:rPr>
                  </w:pPr>
                  <w:r>
                    <w:rPr>
                      <w:rFonts w:hint="eastAsia"/>
                      <w:bCs/>
                      <w:color w:val="auto"/>
                      <w:szCs w:val="21"/>
                      <w:highlight w:val="none"/>
                      <w:lang w:eastAsia="zh-CN"/>
                    </w:rPr>
                    <w:t>可行性</w:t>
                  </w:r>
                </w:p>
              </w:tc>
            </w:tr>
            <w:tr w14:paraId="0E01A7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38" w:hRule="atLeast"/>
                <w:jc w:val="center"/>
              </w:trPr>
              <w:tc>
                <w:tcPr>
                  <w:tcW w:w="435" w:type="pct"/>
                  <w:vMerge w:val="restart"/>
                  <w:noWrap w:val="0"/>
                  <w:vAlign w:val="center"/>
                </w:tcPr>
                <w:p w14:paraId="7413CC69">
                  <w:pPr>
                    <w:keepNext w:val="0"/>
                    <w:keepLines w:val="0"/>
                    <w:pageBreakBefore w:val="0"/>
                    <w:kinsoku/>
                    <w:wordWrap/>
                    <w:overflowPunct/>
                    <w:topLinePunct w:val="0"/>
                    <w:bidi w:val="0"/>
                    <w:spacing w:line="240" w:lineRule="auto"/>
                    <w:ind w:left="0"/>
                    <w:jc w:val="both"/>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b/>
                      <w:bCs/>
                      <w:lang w:val="en-US" w:eastAsia="zh-CN"/>
                    </w:rPr>
                    <w:t>VOCs</w:t>
                  </w:r>
                </w:p>
              </w:tc>
              <w:tc>
                <w:tcPr>
                  <w:tcW w:w="2217" w:type="pct"/>
                  <w:noWrap w:val="0"/>
                  <w:vAlign w:val="top"/>
                </w:tcPr>
                <w:p w14:paraId="1BB076DD">
                  <w:pPr>
                    <w:keepNext w:val="0"/>
                    <w:keepLines w:val="0"/>
                    <w:pageBreakBefore w:val="0"/>
                    <w:numPr>
                      <w:ilvl w:val="0"/>
                      <w:numId w:val="0"/>
                    </w:numPr>
                    <w:kinsoku/>
                    <w:wordWrap/>
                    <w:overflowPunct/>
                    <w:topLinePunct w:val="0"/>
                    <w:bidi w:val="0"/>
                    <w:spacing w:line="240" w:lineRule="auto"/>
                    <w:jc w:val="both"/>
                    <w:textAlignment w:val="auto"/>
                    <w:rPr>
                      <w:rFonts w:hint="eastAsia"/>
                      <w:color w:val="auto"/>
                      <w:highlight w:val="none"/>
                      <w:lang w:val="en-US" w:eastAsia="zh-CN"/>
                    </w:rPr>
                  </w:pPr>
                  <w:r>
                    <w:rPr>
                      <w:rFonts w:hint="eastAsia"/>
                      <w:color w:val="auto"/>
                      <w:highlight w:val="none"/>
                      <w:lang w:val="en-US" w:eastAsia="zh-CN"/>
                    </w:rPr>
                    <w:t>1.企业应建立台账，记录含VOCs原辅材料和含VOCs 产品的名称、使用量、回收量、废弃量、去向以及VOCs含量等信息。台账保存期限不少于3年。</w:t>
                  </w:r>
                </w:p>
              </w:tc>
              <w:tc>
                <w:tcPr>
                  <w:tcW w:w="1188" w:type="pct"/>
                  <w:noWrap w:val="0"/>
                  <w:vAlign w:val="center"/>
                </w:tcPr>
                <w:p w14:paraId="1CC32DA9">
                  <w:pPr>
                    <w:keepNext w:val="0"/>
                    <w:keepLines w:val="0"/>
                    <w:pageBreakBefore w:val="0"/>
                    <w:kinsoku/>
                    <w:wordWrap/>
                    <w:overflowPunct/>
                    <w:topLinePunct w:val="0"/>
                    <w:bidi w:val="0"/>
                    <w:spacing w:line="240" w:lineRule="auto"/>
                    <w:ind w:left="0"/>
                    <w:jc w:val="both"/>
                    <w:textAlignment w:val="auto"/>
                    <w:rPr>
                      <w:rFonts w:hint="default"/>
                      <w:color w:val="auto"/>
                      <w:highlight w:val="none"/>
                      <w:lang w:val="en-US" w:eastAsia="zh-CN"/>
                    </w:rPr>
                  </w:pPr>
                  <w:r>
                    <w:rPr>
                      <w:rFonts w:hint="eastAsia"/>
                      <w:color w:val="auto"/>
                      <w:highlight w:val="none"/>
                      <w:lang w:val="en-US" w:eastAsia="zh-CN"/>
                    </w:rPr>
                    <w:t>本环评要求企业建立原材料及产品台账，依法依规进行记录和保存。</w:t>
                  </w:r>
                </w:p>
              </w:tc>
              <w:tc>
                <w:tcPr>
                  <w:tcW w:w="624" w:type="pct"/>
                  <w:noWrap w:val="0"/>
                  <w:vAlign w:val="center"/>
                </w:tcPr>
                <w:p w14:paraId="6E55D3BA">
                  <w:pPr>
                    <w:keepNext w:val="0"/>
                    <w:keepLines w:val="0"/>
                    <w:pageBreakBefore w:val="0"/>
                    <w:kinsoku/>
                    <w:wordWrap/>
                    <w:overflowPunct/>
                    <w:topLinePunct w:val="0"/>
                    <w:bidi w:val="0"/>
                    <w:spacing w:line="240" w:lineRule="auto"/>
                    <w:ind w:left="0"/>
                    <w:jc w:val="both"/>
                    <w:textAlignment w:val="auto"/>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lang w:val="en-US" w:eastAsia="zh-CN"/>
                    </w:rPr>
                    <w:t>《挥发性有机物无组织排放控制标准》（GB 37822—2019）</w:t>
                  </w:r>
                </w:p>
              </w:tc>
              <w:tc>
                <w:tcPr>
                  <w:tcW w:w="534" w:type="pct"/>
                  <w:noWrap w:val="0"/>
                  <w:vAlign w:val="center"/>
                </w:tcPr>
                <w:p w14:paraId="7EF077CC">
                  <w:pPr>
                    <w:spacing w:line="240" w:lineRule="atLeast"/>
                    <w:jc w:val="both"/>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可行</w:t>
                  </w:r>
                </w:p>
              </w:tc>
            </w:tr>
            <w:tr w14:paraId="66A621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435" w:type="pct"/>
                  <w:vMerge w:val="continue"/>
                  <w:noWrap w:val="0"/>
                  <w:vAlign w:val="center"/>
                </w:tcPr>
                <w:p w14:paraId="00D5C728">
                  <w:pPr>
                    <w:widowControl/>
                    <w:spacing w:line="240" w:lineRule="atLeast"/>
                    <w:jc w:val="center"/>
                    <w:rPr>
                      <w:rFonts w:hint="eastAsia" w:eastAsia="宋体"/>
                      <w:color w:val="auto"/>
                      <w:kern w:val="0"/>
                      <w:szCs w:val="21"/>
                      <w:highlight w:val="none"/>
                      <w:lang w:eastAsia="zh-CN"/>
                    </w:rPr>
                  </w:pPr>
                </w:p>
              </w:tc>
              <w:tc>
                <w:tcPr>
                  <w:tcW w:w="2217" w:type="pct"/>
                  <w:noWrap w:val="0"/>
                  <w:vAlign w:val="center"/>
                </w:tcPr>
                <w:p w14:paraId="69E52B83">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a）控制厂内运输、贮存过程中粉尘无组织排放。运输产生粉尘的物料，其车辆应采取密闭、苦盖等措施。厂区道路应硬化，并采取洒水、喷雾等降尘措施。产生粉尘的物料应储存在有硬化地面的料棚或仓库中。产生粉尘的物料转运点、落料点应设置收集罩，并配备除尘设施。</w:t>
                  </w:r>
                </w:p>
                <w:p w14:paraId="448B5EB4">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b）废弃电器电子产品加工排污单位各拆解环节设置集气罩，并在相对封闭的负压环境下进行，确保对颗粒物进行有效收集，并配备除尘设施，确保产生的废气被有效处理。</w:t>
                  </w:r>
                </w:p>
                <w:p w14:paraId="3DF49364">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c）禁止露天切割、破碎分选废电机、废五金、废电线电缆;设置固定的切割工位，并配备废气收集和处理设施;在破碎分选过程中，加强设备的密闭性，并配备废气收集和处理设施。</w:t>
                  </w:r>
                </w:p>
                <w:p w14:paraId="680B2175">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d）废电池加工排污单位应控制酸浸、萃取单元产生的无组织排放废气。对酸浸、萃取生产车间实行换气处理，定向送风、定向排气，排气经净化处理后高空排放;浸出槽、萃取槽采用水密闭+盖板密封形式，并采用封闭性好的集气罩和储罐。</w:t>
                  </w:r>
                </w:p>
                <w:p w14:paraId="3601A22A">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e）废塑料干法破碎、分选、无水清洗等工序应当配备粉尘收集和处理设施。造粒生产单元产生的无组织废气必须进行收集处理。</w:t>
                  </w:r>
                </w:p>
                <w:p w14:paraId="4C828FBA">
                  <w:pPr>
                    <w:keepNext w:val="0"/>
                    <w:keepLines w:val="0"/>
                    <w:pageBreakBefore w:val="0"/>
                    <w:kinsoku/>
                    <w:wordWrap/>
                    <w:overflowPunct/>
                    <w:topLinePunct w:val="0"/>
                    <w:bidi w:val="0"/>
                    <w:spacing w:line="240" w:lineRule="auto"/>
                    <w:ind w:left="0"/>
                    <w:jc w:val="both"/>
                    <w:textAlignment w:val="auto"/>
                    <w:rPr>
                      <w:rFonts w:hint="eastAsia" w:cs="Times New Roman"/>
                      <w:bCs/>
                      <w:color w:val="auto"/>
                      <w:szCs w:val="21"/>
                      <w:highlight w:val="none"/>
                      <w:lang w:val="en-US" w:eastAsia="zh-CN"/>
                    </w:rPr>
                  </w:pPr>
                  <w:r>
                    <w:rPr>
                      <w:rFonts w:hint="eastAsia" w:cs="Times New Roman"/>
                      <w:bCs/>
                      <w:color w:val="auto"/>
                      <w:szCs w:val="21"/>
                      <w:highlight w:val="none"/>
                      <w:lang w:val="en-US" w:eastAsia="zh-CN"/>
                    </w:rPr>
                    <w:t>f〉废船加工排污单位应适当使用冷切割设备降低废气无组织排放。</w:t>
                  </w:r>
                </w:p>
                <w:p w14:paraId="779A7C3C">
                  <w:pPr>
                    <w:keepNext w:val="0"/>
                    <w:keepLines w:val="0"/>
                    <w:pageBreakBefore w:val="0"/>
                    <w:kinsoku/>
                    <w:wordWrap/>
                    <w:overflowPunct/>
                    <w:topLinePunct w:val="0"/>
                    <w:bidi w:val="0"/>
                    <w:spacing w:line="240" w:lineRule="auto"/>
                    <w:ind w:left="0"/>
                    <w:jc w:val="both"/>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g〉废轮胎加工排污单位所有破碎、筛分等环节应在密闭空间或设备中进行，禁止露天作业，产生的废气应收集处理后有组织排放。动态脱硫罐出胶冷却过程应在封闭设施或环境中进行，并对无组织废气进行收集处理。针对间歇式热裂解炉进出料及开炉逸出的非甲烷总经、硫化氢等，应加强设备的密封性，投料时热裂解仓内保持负压状态，导气装置全部采用封闭结构，并对无组织废气进行收集处理。油罐储存区应安装废气收集处理装置，减少有机废气无组织排放。炭黑出料采用封闭式出渣机与出料口严密对接，确保炭黑在出料过程中被封闭在管道内，钢丝磁选与炭黑分离在密闭设施内进行，粉尘通过除尘设施收集处理。炭黑堆场采用全封闭仓库，仅留运输车辆进出口，降低扬尘。</w:t>
                  </w:r>
                </w:p>
              </w:tc>
              <w:tc>
                <w:tcPr>
                  <w:tcW w:w="1188" w:type="pct"/>
                  <w:noWrap w:val="0"/>
                  <w:vAlign w:val="center"/>
                </w:tcPr>
                <w:p w14:paraId="2C476E65">
                  <w:pPr>
                    <w:spacing w:line="240" w:lineRule="atLeast"/>
                    <w:jc w:val="both"/>
                    <w:rPr>
                      <w:rFonts w:hint="eastAsia" w:eastAsia="宋体"/>
                      <w:color w:val="auto"/>
                      <w:highlight w:val="none"/>
                      <w:lang w:val="en-US" w:eastAsia="zh-CN"/>
                    </w:rPr>
                  </w:pPr>
                  <w:r>
                    <w:rPr>
                      <w:rFonts w:hint="eastAsia" w:eastAsia="宋体"/>
                      <w:color w:val="auto"/>
                      <w:highlight w:val="none"/>
                      <w:lang w:val="en-US" w:eastAsia="zh-CN"/>
                    </w:rPr>
                    <w:t>本项目场内均进行了硬化，并定时采取洒水降尘措施。</w:t>
                  </w:r>
                </w:p>
                <w:p w14:paraId="3C073BB1">
                  <w:pPr>
                    <w:spacing w:line="240" w:lineRule="atLeast"/>
                    <w:jc w:val="both"/>
                    <w:rPr>
                      <w:rFonts w:hint="eastAsia"/>
                      <w:color w:val="auto"/>
                      <w:highlight w:val="none"/>
                      <w:lang w:val="en-US" w:eastAsia="zh-CN"/>
                    </w:rPr>
                  </w:pPr>
                  <w:r>
                    <w:rPr>
                      <w:rFonts w:hint="eastAsia"/>
                      <w:color w:val="auto"/>
                      <w:highlight w:val="none"/>
                      <w:lang w:val="en-US" w:eastAsia="zh-CN"/>
                    </w:rPr>
                    <w:t>本项目全工艺均置于密闭的厂房内，采用集气罩对VOCs进行收集，采用</w:t>
                  </w:r>
                  <w:r>
                    <w:rPr>
                      <w:rFonts w:hint="eastAsia" w:cs="Times New Roman"/>
                      <w:bCs/>
                      <w:color w:val="auto"/>
                      <w:szCs w:val="21"/>
                      <w:highlight w:val="none"/>
                      <w:lang w:val="en-US" w:eastAsia="zh-CN"/>
                    </w:rPr>
                    <w:t>二级活性炭吸附技术</w:t>
                  </w:r>
                  <w:r>
                    <w:rPr>
                      <w:rFonts w:hint="eastAsia"/>
                      <w:color w:val="auto"/>
                      <w:highlight w:val="none"/>
                      <w:lang w:val="en-US" w:eastAsia="zh-CN"/>
                    </w:rPr>
                    <w:t>处理，处理后废气经15m高排气筒排放。</w:t>
                  </w:r>
                </w:p>
                <w:p w14:paraId="2F1276AD">
                  <w:pPr>
                    <w:spacing w:line="240" w:lineRule="atLeast"/>
                    <w:jc w:val="both"/>
                    <w:rPr>
                      <w:rFonts w:hint="default" w:ascii="Times New Roman" w:hAnsi="Times New Roman" w:eastAsia="宋体" w:cs="Times New Roman"/>
                      <w:color w:val="auto"/>
                      <w:highlight w:val="none"/>
                      <w:lang w:val="en-US" w:eastAsia="zh-CN"/>
                    </w:rPr>
                  </w:pPr>
                  <w:r>
                    <w:rPr>
                      <w:rFonts w:hint="eastAsia" w:eastAsia="宋体"/>
                      <w:color w:val="auto"/>
                      <w:highlight w:val="none"/>
                      <w:lang w:val="en-US" w:eastAsia="zh-CN"/>
                    </w:rPr>
                    <w:t>废气收集系统</w:t>
                  </w:r>
                  <w:r>
                    <w:rPr>
                      <w:rFonts w:hint="eastAsia"/>
                      <w:color w:val="auto"/>
                      <w:highlight w:val="none"/>
                      <w:lang w:val="en-US" w:eastAsia="zh-CN"/>
                    </w:rPr>
                    <w:t>均采用</w:t>
                  </w:r>
                  <w:r>
                    <w:rPr>
                      <w:rFonts w:hint="eastAsia" w:eastAsia="宋体"/>
                      <w:color w:val="auto"/>
                      <w:highlight w:val="none"/>
                      <w:lang w:val="en-US" w:eastAsia="zh-CN"/>
                    </w:rPr>
                    <w:t>耐腐、阻燃</w:t>
                  </w:r>
                  <w:r>
                    <w:rPr>
                      <w:rFonts w:hint="eastAsia"/>
                      <w:color w:val="auto"/>
                      <w:highlight w:val="none"/>
                      <w:lang w:val="en-US" w:eastAsia="zh-CN"/>
                    </w:rPr>
                    <w:t>、</w:t>
                  </w:r>
                  <w:r>
                    <w:rPr>
                      <w:rFonts w:hint="eastAsia" w:eastAsia="宋体"/>
                      <w:color w:val="auto"/>
                      <w:highlight w:val="none"/>
                      <w:lang w:val="en-US" w:eastAsia="zh-CN"/>
                    </w:rPr>
                    <w:t>抗静电</w:t>
                  </w:r>
                  <w:r>
                    <w:rPr>
                      <w:rFonts w:hint="eastAsia"/>
                      <w:color w:val="auto"/>
                      <w:highlight w:val="none"/>
                      <w:lang w:val="en-US" w:eastAsia="zh-CN"/>
                    </w:rPr>
                    <w:t>以及</w:t>
                  </w:r>
                  <w:r>
                    <w:rPr>
                      <w:rFonts w:hint="eastAsia" w:eastAsia="宋体"/>
                      <w:color w:val="auto"/>
                      <w:highlight w:val="none"/>
                      <w:lang w:val="en-US" w:eastAsia="zh-CN"/>
                    </w:rPr>
                    <w:t>气密性好</w:t>
                  </w:r>
                  <w:r>
                    <w:rPr>
                      <w:rFonts w:hint="eastAsia"/>
                      <w:color w:val="auto"/>
                      <w:highlight w:val="none"/>
                      <w:lang w:val="en-US" w:eastAsia="zh-CN"/>
                    </w:rPr>
                    <w:t>的设备，生产前先开启废气收集及处理设备，生产线关闭后再关闭废气收集及处理设备，已确保生产过程中废气能被全面收集处理。</w:t>
                  </w:r>
                </w:p>
                <w:p w14:paraId="642D5A3E">
                  <w:pPr>
                    <w:spacing w:line="240" w:lineRule="atLeast"/>
                    <w:jc w:val="both"/>
                    <w:rPr>
                      <w:rFonts w:hint="default"/>
                      <w:color w:val="auto"/>
                      <w:highlight w:val="none"/>
                      <w:lang w:val="en-US" w:eastAsia="zh-CN"/>
                    </w:rPr>
                  </w:pPr>
                </w:p>
              </w:tc>
              <w:tc>
                <w:tcPr>
                  <w:tcW w:w="624" w:type="pct"/>
                  <w:noWrap w:val="0"/>
                  <w:vAlign w:val="center"/>
                </w:tcPr>
                <w:p w14:paraId="0430A7C8">
                  <w:pPr>
                    <w:spacing w:line="240" w:lineRule="atLeast"/>
                    <w:jc w:val="center"/>
                    <w:rPr>
                      <w:rFonts w:hint="eastAsia"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val="en-US" w:eastAsia="zh-CN"/>
                    </w:rPr>
                    <w:t>《排污许可证申请与核发技术规范 废弃资源加工工业》（HJ1034—2019）</w:t>
                  </w:r>
                </w:p>
              </w:tc>
              <w:tc>
                <w:tcPr>
                  <w:tcW w:w="534" w:type="pct"/>
                  <w:noWrap w:val="0"/>
                  <w:vAlign w:val="center"/>
                </w:tcPr>
                <w:p w14:paraId="125A1036">
                  <w:pPr>
                    <w:spacing w:line="240" w:lineRule="atLeast"/>
                    <w:jc w:val="center"/>
                    <w:rPr>
                      <w:rFonts w:hint="eastAsia" w:eastAsia="宋体"/>
                      <w:bCs/>
                      <w:color w:val="auto"/>
                      <w:szCs w:val="21"/>
                      <w:highlight w:val="none"/>
                      <w:lang w:eastAsia="zh-CN"/>
                    </w:rPr>
                  </w:pPr>
                  <w:r>
                    <w:rPr>
                      <w:rFonts w:hint="eastAsia" w:eastAsia="宋体"/>
                      <w:bCs/>
                      <w:color w:val="auto"/>
                      <w:szCs w:val="21"/>
                      <w:highlight w:val="none"/>
                      <w:lang w:eastAsia="zh-CN"/>
                    </w:rPr>
                    <w:t>可行</w:t>
                  </w:r>
                </w:p>
              </w:tc>
            </w:tr>
            <w:tr w14:paraId="3CAEA6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1" w:hRule="atLeast"/>
                <w:jc w:val="center"/>
              </w:trPr>
              <w:tc>
                <w:tcPr>
                  <w:tcW w:w="435" w:type="pct"/>
                  <w:noWrap w:val="0"/>
                  <w:vAlign w:val="center"/>
                </w:tcPr>
                <w:p w14:paraId="2F8926DE">
                  <w:pPr>
                    <w:widowControl/>
                    <w:spacing w:line="240" w:lineRule="atLeast"/>
                    <w:jc w:val="center"/>
                    <w:rPr>
                      <w:rFonts w:hint="eastAsia"/>
                      <w:color w:val="auto"/>
                      <w:kern w:val="0"/>
                      <w:szCs w:val="21"/>
                      <w:highlight w:val="none"/>
                      <w:lang w:val="en-US" w:eastAsia="zh-CN"/>
                    </w:rPr>
                  </w:pPr>
                  <w:r>
                    <w:rPr>
                      <w:rFonts w:hint="eastAsia" w:cs="Times New Roman"/>
                      <w:color w:val="auto"/>
                      <w:kern w:val="0"/>
                      <w:szCs w:val="21"/>
                      <w:highlight w:val="none"/>
                      <w:lang w:val="en-US" w:eastAsia="zh-CN"/>
                    </w:rPr>
                    <w:t>VOCs</w:t>
                  </w:r>
                </w:p>
              </w:tc>
              <w:tc>
                <w:tcPr>
                  <w:tcW w:w="2217" w:type="pct"/>
                  <w:noWrap w:val="0"/>
                  <w:vAlign w:val="center"/>
                </w:tcPr>
                <w:p w14:paraId="3E77E139">
                  <w:pPr>
                    <w:spacing w:line="240" w:lineRule="atLeast"/>
                    <w:jc w:val="center"/>
                    <w:rPr>
                      <w:rFonts w:hint="eastAsia"/>
                      <w:color w:val="auto"/>
                      <w:highlight w:val="none"/>
                      <w:lang w:val="en-US" w:eastAsia="zh-CN"/>
                    </w:rPr>
                  </w:pPr>
                  <w:r>
                    <w:rPr>
                      <w:rFonts w:hint="eastAsia" w:ascii="Times New Roman" w:hAnsi="Times New Roman" w:eastAsia="宋体" w:cs="Times New Roman"/>
                      <w:bCs/>
                      <w:color w:val="auto"/>
                      <w:szCs w:val="21"/>
                      <w:highlight w:val="none"/>
                      <w:lang w:val="en-US" w:eastAsia="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188" w:type="pct"/>
                  <w:vMerge w:val="restart"/>
                  <w:noWrap w:val="0"/>
                  <w:vAlign w:val="center"/>
                </w:tcPr>
                <w:p w14:paraId="12EC612D">
                  <w:pPr>
                    <w:spacing w:line="240" w:lineRule="atLeast"/>
                    <w:jc w:val="center"/>
                    <w:rPr>
                      <w:rFonts w:hint="eastAsia"/>
                      <w:color w:val="auto"/>
                      <w:highlight w:val="none"/>
                      <w:lang w:val="en-US" w:eastAsia="zh-CN"/>
                    </w:rPr>
                  </w:pPr>
                  <w:r>
                    <w:rPr>
                      <w:rFonts w:hint="eastAsia" w:cs="Times New Roman"/>
                      <w:bCs/>
                      <w:color w:val="auto"/>
                      <w:szCs w:val="21"/>
                      <w:highlight w:val="none"/>
                      <w:lang w:val="en-US" w:eastAsia="zh-CN"/>
                    </w:rPr>
                    <w:t>本项目</w:t>
                  </w:r>
                  <w:r>
                    <w:rPr>
                      <w:rFonts w:hint="eastAsia" w:ascii="Times New Roman" w:hAnsi="Times New Roman" w:eastAsia="宋体" w:cs="Times New Roman"/>
                      <w:bCs/>
                      <w:color w:val="auto"/>
                      <w:szCs w:val="21"/>
                      <w:highlight w:val="none"/>
                      <w:lang w:val="en-US" w:eastAsia="zh-CN"/>
                    </w:rPr>
                    <w:t>恶臭气体</w:t>
                  </w:r>
                  <w:r>
                    <w:rPr>
                      <w:rFonts w:hint="eastAsia" w:cs="Times New Roman"/>
                      <w:bCs/>
                      <w:color w:val="auto"/>
                      <w:szCs w:val="21"/>
                      <w:highlight w:val="none"/>
                      <w:lang w:val="en-US" w:eastAsia="zh-CN"/>
                    </w:rPr>
                    <w:t>和</w:t>
                  </w:r>
                  <w:r>
                    <w:rPr>
                      <w:rFonts w:hint="eastAsia" w:ascii="Times New Roman" w:hAnsi="Times New Roman" w:eastAsia="宋体" w:cs="Times New Roman"/>
                      <w:bCs/>
                      <w:color w:val="auto"/>
                      <w:szCs w:val="21"/>
                      <w:highlight w:val="none"/>
                      <w:lang w:val="en-US" w:eastAsia="zh-CN"/>
                    </w:rPr>
                    <w:t>VOCs</w:t>
                  </w:r>
                  <w:r>
                    <w:rPr>
                      <w:rFonts w:hint="eastAsia" w:cs="Times New Roman"/>
                      <w:bCs/>
                      <w:color w:val="auto"/>
                      <w:szCs w:val="21"/>
                      <w:highlight w:val="none"/>
                      <w:lang w:val="en-US" w:eastAsia="zh-CN"/>
                    </w:rPr>
                    <w:t>产生浓度较低，采用集气罩进行收集，经二级活性炭吸附技术进行处理，经15m排气筒达标排放</w:t>
                  </w:r>
                </w:p>
              </w:tc>
              <w:tc>
                <w:tcPr>
                  <w:tcW w:w="624" w:type="pct"/>
                  <w:vMerge w:val="restart"/>
                  <w:noWrap w:val="0"/>
                  <w:vAlign w:val="center"/>
                </w:tcPr>
                <w:p w14:paraId="00B7218E">
                  <w:pPr>
                    <w:spacing w:line="240" w:lineRule="atLeast"/>
                    <w:jc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《挥发性有机物（</w:t>
                  </w:r>
                  <w:r>
                    <w:rPr>
                      <w:rFonts w:hint="default" w:cs="Times New Roman"/>
                      <w:bCs/>
                      <w:color w:val="auto"/>
                      <w:szCs w:val="21"/>
                      <w:highlight w:val="none"/>
                      <w:lang w:val="en-US" w:eastAsia="zh-CN"/>
                    </w:rPr>
                    <w:t>VOCs</w:t>
                  </w:r>
                  <w:r>
                    <w:rPr>
                      <w:rFonts w:hint="eastAsia" w:cs="Times New Roman"/>
                      <w:bCs/>
                      <w:color w:val="auto"/>
                      <w:szCs w:val="21"/>
                      <w:highlight w:val="none"/>
                      <w:lang w:val="en-US" w:eastAsia="zh-CN"/>
                    </w:rPr>
                    <w:t>）污染防治技术政策》</w:t>
                  </w:r>
                </w:p>
              </w:tc>
              <w:tc>
                <w:tcPr>
                  <w:tcW w:w="534" w:type="pct"/>
                  <w:noWrap w:val="0"/>
                  <w:vAlign w:val="center"/>
                </w:tcPr>
                <w:p w14:paraId="027D18CC">
                  <w:pPr>
                    <w:spacing w:line="240" w:lineRule="atLeast"/>
                    <w:jc w:val="center"/>
                    <w:rPr>
                      <w:rFonts w:hint="eastAsia" w:cs="Times New Roman"/>
                      <w:bCs/>
                      <w:color w:val="auto"/>
                      <w:szCs w:val="21"/>
                      <w:highlight w:val="none"/>
                      <w:lang w:val="en-US" w:eastAsia="zh-CN"/>
                    </w:rPr>
                  </w:pPr>
                  <w:r>
                    <w:rPr>
                      <w:rFonts w:hint="eastAsia"/>
                      <w:bCs/>
                      <w:color w:val="auto"/>
                      <w:szCs w:val="21"/>
                      <w:highlight w:val="none"/>
                      <w:lang w:val="en-US" w:eastAsia="zh-CN"/>
                    </w:rPr>
                    <w:t>可行</w:t>
                  </w:r>
                </w:p>
              </w:tc>
            </w:tr>
            <w:tr w14:paraId="709574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1" w:hRule="atLeast"/>
                <w:jc w:val="center"/>
              </w:trPr>
              <w:tc>
                <w:tcPr>
                  <w:tcW w:w="435" w:type="pct"/>
                  <w:noWrap w:val="0"/>
                  <w:vAlign w:val="center"/>
                </w:tcPr>
                <w:p w14:paraId="29D0CCD9">
                  <w:pPr>
                    <w:widowControl/>
                    <w:spacing w:line="240" w:lineRule="atLeast"/>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臭气</w:t>
                  </w:r>
                </w:p>
                <w:p w14:paraId="79D170DA">
                  <w:pPr>
                    <w:widowControl/>
                    <w:spacing w:line="240" w:lineRule="atLeast"/>
                    <w:jc w:val="center"/>
                    <w:rPr>
                      <w:rFonts w:hint="eastAsia"/>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浓度</w:t>
                  </w:r>
                </w:p>
              </w:tc>
              <w:tc>
                <w:tcPr>
                  <w:tcW w:w="2217" w:type="pct"/>
                  <w:noWrap w:val="0"/>
                  <w:vAlign w:val="center"/>
                </w:tcPr>
                <w:p w14:paraId="164D7B54">
                  <w:pPr>
                    <w:spacing w:line="240" w:lineRule="atLeast"/>
                    <w:jc w:val="center"/>
                    <w:rPr>
                      <w:rFonts w:hint="eastAsia"/>
                      <w:color w:val="auto"/>
                      <w:highlight w:val="none"/>
                      <w:lang w:val="en-US" w:eastAsia="zh-CN"/>
                    </w:rPr>
                  </w:pPr>
                  <w:r>
                    <w:rPr>
                      <w:rFonts w:hint="eastAsia" w:ascii="Times New Roman" w:hAnsi="Times New Roman" w:eastAsia="宋体" w:cs="Times New Roman"/>
                      <w:bCs/>
                      <w:color w:val="auto"/>
                      <w:szCs w:val="21"/>
                      <w:highlight w:val="none"/>
                      <w:lang w:val="en-US" w:eastAsia="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188" w:type="pct"/>
                  <w:vMerge w:val="continue"/>
                  <w:noWrap w:val="0"/>
                  <w:vAlign w:val="center"/>
                </w:tcPr>
                <w:p w14:paraId="593208CA">
                  <w:pPr>
                    <w:spacing w:line="240" w:lineRule="atLeast"/>
                    <w:jc w:val="center"/>
                    <w:rPr>
                      <w:rFonts w:hint="eastAsia"/>
                      <w:color w:val="auto"/>
                      <w:highlight w:val="none"/>
                      <w:lang w:val="en-US" w:eastAsia="zh-CN"/>
                    </w:rPr>
                  </w:pPr>
                </w:p>
              </w:tc>
              <w:tc>
                <w:tcPr>
                  <w:tcW w:w="624" w:type="pct"/>
                  <w:vMerge w:val="continue"/>
                  <w:noWrap w:val="0"/>
                  <w:vAlign w:val="center"/>
                </w:tcPr>
                <w:p w14:paraId="32D52885">
                  <w:pPr>
                    <w:spacing w:line="240" w:lineRule="atLeast"/>
                    <w:jc w:val="center"/>
                    <w:rPr>
                      <w:rFonts w:hint="eastAsia" w:cs="Times New Roman"/>
                      <w:bCs/>
                      <w:color w:val="auto"/>
                      <w:szCs w:val="21"/>
                      <w:highlight w:val="none"/>
                      <w:lang w:val="en-US" w:eastAsia="zh-CN"/>
                    </w:rPr>
                  </w:pPr>
                </w:p>
              </w:tc>
              <w:tc>
                <w:tcPr>
                  <w:tcW w:w="534" w:type="pct"/>
                  <w:noWrap w:val="0"/>
                  <w:vAlign w:val="center"/>
                </w:tcPr>
                <w:p w14:paraId="75881EDB">
                  <w:pPr>
                    <w:spacing w:line="240" w:lineRule="atLeast"/>
                    <w:jc w:val="center"/>
                    <w:rPr>
                      <w:rFonts w:hint="eastAsia" w:cs="Times New Roman"/>
                      <w:bCs/>
                      <w:color w:val="auto"/>
                      <w:szCs w:val="21"/>
                      <w:highlight w:val="none"/>
                      <w:lang w:val="en-US" w:eastAsia="zh-CN"/>
                    </w:rPr>
                  </w:pPr>
                  <w:r>
                    <w:rPr>
                      <w:rFonts w:hint="eastAsia"/>
                      <w:bCs/>
                      <w:color w:val="auto"/>
                      <w:szCs w:val="21"/>
                      <w:highlight w:val="none"/>
                      <w:lang w:val="en-US" w:eastAsia="zh-CN"/>
                    </w:rPr>
                    <w:t>可行</w:t>
                  </w:r>
                </w:p>
              </w:tc>
            </w:tr>
            <w:tr w14:paraId="013E19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435" w:type="pct"/>
                  <w:noWrap w:val="0"/>
                  <w:vAlign w:val="center"/>
                </w:tcPr>
                <w:p w14:paraId="1D2E5C56">
                  <w:pPr>
                    <w:widowControl/>
                    <w:spacing w:line="240" w:lineRule="atLeast"/>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颗粒物</w:t>
                  </w:r>
                </w:p>
              </w:tc>
              <w:tc>
                <w:tcPr>
                  <w:tcW w:w="2217" w:type="pct"/>
                  <w:noWrap w:val="0"/>
                  <w:vAlign w:val="center"/>
                </w:tcPr>
                <w:p w14:paraId="7B6E4681">
                  <w:pPr>
                    <w:spacing w:line="240" w:lineRule="atLeast"/>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188" w:type="pct"/>
                  <w:noWrap w:val="0"/>
                  <w:vAlign w:val="center"/>
                </w:tcPr>
                <w:p w14:paraId="0195EB44">
                  <w:pPr>
                    <w:spacing w:line="240" w:lineRule="atLeast"/>
                    <w:jc w:val="center"/>
                    <w:rPr>
                      <w:rFonts w:hint="default"/>
                      <w:color w:val="auto"/>
                      <w:highlight w:val="none"/>
                      <w:lang w:val="en-US" w:eastAsia="zh-CN"/>
                    </w:rPr>
                  </w:pPr>
                  <w:r>
                    <w:rPr>
                      <w:rFonts w:hint="eastAsia"/>
                      <w:color w:val="auto"/>
                      <w:highlight w:val="none"/>
                      <w:lang w:val="en-US" w:eastAsia="zh-CN"/>
                    </w:rPr>
                    <w:t>车间封闭、勤于清扫</w:t>
                  </w:r>
                </w:p>
              </w:tc>
              <w:tc>
                <w:tcPr>
                  <w:tcW w:w="624" w:type="pct"/>
                  <w:noWrap w:val="0"/>
                  <w:vAlign w:val="center"/>
                </w:tcPr>
                <w:p w14:paraId="2148AA8B">
                  <w:pPr>
                    <w:spacing w:line="240" w:lineRule="atLeast"/>
                    <w:jc w:val="center"/>
                    <w:rPr>
                      <w:rFonts w:hint="default"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534" w:type="pct"/>
                  <w:noWrap w:val="0"/>
                  <w:vAlign w:val="center"/>
                </w:tcPr>
                <w:p w14:paraId="1817A360">
                  <w:pPr>
                    <w:spacing w:line="240" w:lineRule="atLeast"/>
                    <w:jc w:val="center"/>
                    <w:rPr>
                      <w:rFonts w:hint="eastAsia"/>
                      <w:bCs/>
                      <w:color w:val="auto"/>
                      <w:szCs w:val="21"/>
                      <w:highlight w:val="none"/>
                      <w:lang w:val="en-US" w:eastAsia="zh-CN"/>
                    </w:rPr>
                  </w:pPr>
                  <w:r>
                    <w:rPr>
                      <w:rFonts w:hint="eastAsia"/>
                      <w:bCs/>
                      <w:color w:val="auto"/>
                      <w:szCs w:val="21"/>
                      <w:highlight w:val="none"/>
                      <w:lang w:val="en-US" w:eastAsia="zh-CN"/>
                    </w:rPr>
                    <w:t>可行</w:t>
                  </w:r>
                </w:p>
              </w:tc>
            </w:tr>
          </w:tbl>
          <w:p w14:paraId="7D34E4DC">
            <w:pPr>
              <w:pStyle w:val="36"/>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cs="Times New Roman"/>
                <w:color w:val="auto"/>
                <w:sz w:val="24"/>
                <w:szCs w:val="24"/>
                <w:highlight w:val="none"/>
                <w:lang w:val="en-US" w:eastAsia="zh-CN"/>
              </w:rPr>
              <w:t>根据上表可知，本项目采取的无组织废气处理措施均满足《挥发性有机物无组织排放控制标准》（GB 37822-2019）、</w:t>
            </w:r>
            <w:r>
              <w:rPr>
                <w:rFonts w:ascii="宋体" w:hAnsi="宋体" w:eastAsia="宋体" w:cs="宋体"/>
                <w:sz w:val="24"/>
                <w:szCs w:val="24"/>
              </w:rPr>
              <w:t>《排污许可证申请与核发技术规范</w:t>
            </w:r>
            <w:r>
              <w:rPr>
                <w:rFonts w:hint="eastAsia" w:ascii="宋体" w:hAnsi="宋体" w:cs="宋体"/>
                <w:sz w:val="24"/>
                <w:szCs w:val="24"/>
                <w:lang w:val="en-US" w:eastAsia="zh-CN"/>
              </w:rPr>
              <w:t xml:space="preserve"> </w:t>
            </w:r>
            <w:r>
              <w:rPr>
                <w:rFonts w:ascii="宋体" w:hAnsi="宋体" w:eastAsia="宋体" w:cs="宋体"/>
                <w:sz w:val="24"/>
                <w:szCs w:val="24"/>
              </w:rPr>
              <w:t>废弃资源加工工业》（HJ1034—2019）</w:t>
            </w:r>
            <w:r>
              <w:rPr>
                <w:rFonts w:hint="eastAsia" w:cs="Times New Roman"/>
                <w:color w:val="auto"/>
                <w:sz w:val="24"/>
                <w:szCs w:val="24"/>
                <w:highlight w:val="none"/>
                <w:lang w:val="en-US" w:eastAsia="zh-CN"/>
              </w:rPr>
              <w:t>中排污单位无组织排放控制要求，无组织VOCs、臭气浓度及颗粒物均能够实现达标排放。</w:t>
            </w:r>
          </w:p>
          <w:p w14:paraId="4450727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二、废水</w:t>
            </w:r>
          </w:p>
          <w:p w14:paraId="0D7DD6D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cs="Times New Roman"/>
                <w:b/>
                <w:bCs/>
                <w:color w:val="auto"/>
                <w:kern w:val="44"/>
                <w:sz w:val="24"/>
                <w:szCs w:val="24"/>
                <w:highlight w:val="none"/>
                <w:lang w:val="en-US" w:eastAsia="zh-CN"/>
              </w:rPr>
            </w:pPr>
            <w:r>
              <w:rPr>
                <w:rFonts w:hint="eastAsia" w:cs="Times New Roman"/>
                <w:b/>
                <w:bCs/>
                <w:color w:val="auto"/>
                <w:kern w:val="44"/>
                <w:sz w:val="24"/>
                <w:szCs w:val="24"/>
                <w:highlight w:val="none"/>
                <w:lang w:val="en-US" w:eastAsia="zh-CN"/>
              </w:rPr>
              <w:t>1、污染源强核算</w:t>
            </w:r>
          </w:p>
          <w:p w14:paraId="66C7FC7D">
            <w:pPr>
              <w:pStyle w:val="36"/>
              <w:numPr>
                <w:ilvl w:val="0"/>
                <w:numId w:val="0"/>
              </w:numPr>
              <w:spacing w:line="360" w:lineRule="auto"/>
              <w:ind w:firstLine="480" w:firstLineChars="200"/>
              <w:rPr>
                <w:rFonts w:hint="eastAsia" w:ascii="宋体" w:hAnsi="宋体" w:eastAsia="宋体" w:cs="宋体"/>
                <w:sz w:val="24"/>
                <w:szCs w:val="24"/>
                <w:lang w:val="en-US" w:eastAsia="zh-CN"/>
              </w:rPr>
            </w:pPr>
            <w:r>
              <w:rPr>
                <w:rFonts w:ascii="宋体" w:hAnsi="宋体" w:eastAsia="宋体" w:cs="宋体"/>
                <w:sz w:val="24"/>
                <w:szCs w:val="24"/>
              </w:rPr>
              <w:t>本项目生产过程中的废水主要为报废车辆存放拆解车间产生的地面冲洗水以及生活污水。</w:t>
            </w:r>
          </w:p>
          <w:p w14:paraId="1942F457">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（1）生产废水</w:t>
            </w:r>
          </w:p>
          <w:p w14:paraId="2766BC3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项目运营期不对拟拆解车辆及零件进行冲洗，生产用水主要为拆解车间地面冲洗水：根据建设单位提供资料，车间地面冲洗为3L/m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·次，每周冲洗一次。本项目拆解场地面积为1490m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，则用水量为4.47m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/次，187.74m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/a（按42次/a计算）；废水产生系数取0.9，则废水产生量为168.97m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p w14:paraId="52CAB46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宋体" w:hAnsi="宋体" w:eastAsia="宋体" w:cs="宋体"/>
                <w:sz w:val="24"/>
                <w:szCs w:val="24"/>
              </w:rPr>
            </w:pPr>
            <w:r>
              <w:rPr>
                <w:rFonts w:ascii="宋体" w:hAnsi="宋体" w:eastAsia="宋体" w:cs="宋体"/>
                <w:sz w:val="24"/>
                <w:szCs w:val="24"/>
              </w:rPr>
              <w:t>据《再生资源与循环经济》（2012年第08期，作者：陈清后，余海军，李长东）之《浅析报废汽车拆解厂废水循环处理技术的应用现状》的研究中可知报废汽车拆解厂的废水水质范围约：COD：283</w:t>
            </w:r>
            <w:r>
              <w:rPr>
                <w:rFonts w:hint="eastAsia" w:ascii="宋体" w:hAnsi="宋体" w:eastAsia="宋体" w:cs="宋体"/>
                <w:sz w:val="24"/>
                <w:szCs w:val="24"/>
                <w:lang w:val="en-US" w:eastAsia="zh-CN"/>
              </w:rPr>
              <w:t>-</w:t>
            </w:r>
            <w:r>
              <w:rPr>
                <w:rFonts w:ascii="宋体" w:hAnsi="宋体" w:eastAsia="宋体" w:cs="宋体"/>
                <w:sz w:val="24"/>
                <w:szCs w:val="24"/>
              </w:rPr>
              <w:t>562mg/L，SS：50</w:t>
            </w:r>
            <w:r>
              <w:rPr>
                <w:rFonts w:hint="eastAsia" w:ascii="宋体" w:hAnsi="宋体" w:eastAsia="宋体" w:cs="宋体"/>
                <w:sz w:val="24"/>
                <w:szCs w:val="24"/>
                <w:lang w:val="en-US" w:eastAsia="zh-CN"/>
              </w:rPr>
              <w:t>-</w:t>
            </w:r>
            <w:r>
              <w:rPr>
                <w:rFonts w:ascii="宋体" w:hAnsi="宋体" w:eastAsia="宋体" w:cs="宋体"/>
                <w:sz w:val="24"/>
                <w:szCs w:val="24"/>
              </w:rPr>
              <w:t>73mg/L，石油类：130</w:t>
            </w:r>
            <w:r>
              <w:rPr>
                <w:rFonts w:hint="eastAsia" w:ascii="宋体" w:hAnsi="宋体" w:eastAsia="宋体" w:cs="宋体"/>
                <w:sz w:val="24"/>
                <w:szCs w:val="24"/>
                <w:lang w:val="en-US" w:eastAsia="zh-CN"/>
              </w:rPr>
              <w:t>-</w:t>
            </w:r>
            <w:r>
              <w:rPr>
                <w:rFonts w:ascii="宋体" w:hAnsi="宋体" w:eastAsia="宋体" w:cs="宋体"/>
                <w:sz w:val="24"/>
                <w:szCs w:val="24"/>
              </w:rPr>
              <w:t>380mg/L。《洗车废水处理技术现状及发展》（广东化工，王晓泳，卢徐节等人）研究中洗车废水水质范围为COD：244</w:t>
            </w:r>
            <w:r>
              <w:rPr>
                <w:rFonts w:hint="eastAsia" w:ascii="宋体" w:hAnsi="宋体" w:eastAsia="宋体" w:cs="宋体"/>
                <w:sz w:val="24"/>
                <w:szCs w:val="24"/>
                <w:lang w:val="en-US" w:eastAsia="zh-CN"/>
              </w:rPr>
              <w:t>-</w:t>
            </w:r>
            <w:r>
              <w:rPr>
                <w:rFonts w:ascii="宋体" w:hAnsi="宋体" w:eastAsia="宋体" w:cs="宋体"/>
                <w:sz w:val="24"/>
                <w:szCs w:val="24"/>
              </w:rPr>
              <w:t>516mg/L，SS：89</w:t>
            </w:r>
            <w:r>
              <w:rPr>
                <w:rFonts w:hint="eastAsia" w:ascii="宋体" w:hAnsi="宋体" w:eastAsia="宋体" w:cs="宋体"/>
                <w:sz w:val="24"/>
                <w:szCs w:val="24"/>
                <w:lang w:val="en-US" w:eastAsia="zh-CN"/>
              </w:rPr>
              <w:t>-</w:t>
            </w:r>
            <w:r>
              <w:rPr>
                <w:rFonts w:ascii="宋体" w:hAnsi="宋体" w:eastAsia="宋体" w:cs="宋体"/>
                <w:sz w:val="24"/>
                <w:szCs w:val="24"/>
              </w:rPr>
              <w:t>206mg/L，石油类：2</w:t>
            </w:r>
            <w:r>
              <w:rPr>
                <w:rFonts w:hint="eastAsia" w:ascii="宋体" w:hAnsi="宋体" w:eastAsia="宋体" w:cs="宋体"/>
                <w:sz w:val="24"/>
                <w:szCs w:val="24"/>
                <w:lang w:val="en-US" w:eastAsia="zh-CN"/>
              </w:rPr>
              <w:t>-</w:t>
            </w:r>
            <w:r>
              <w:rPr>
                <w:rFonts w:ascii="宋体" w:hAnsi="宋体" w:eastAsia="宋体" w:cs="宋体"/>
                <w:sz w:val="24"/>
                <w:szCs w:val="24"/>
              </w:rPr>
              <w:t>7.4mg/L，BOD</w:t>
            </w:r>
            <w:r>
              <w:rPr>
                <w:rFonts w:ascii="宋体" w:hAnsi="宋体" w:eastAsia="宋体" w:cs="宋体"/>
                <w:sz w:val="24"/>
                <w:szCs w:val="24"/>
                <w:vertAlign w:val="subscript"/>
              </w:rPr>
              <w:t>5</w:t>
            </w:r>
            <w:r>
              <w:rPr>
                <w:rFonts w:ascii="宋体" w:hAnsi="宋体" w:eastAsia="宋体" w:cs="宋体"/>
                <w:sz w:val="24"/>
                <w:szCs w:val="24"/>
              </w:rPr>
              <w:t>：34.2</w:t>
            </w:r>
            <w:r>
              <w:rPr>
                <w:rFonts w:hint="eastAsia" w:ascii="宋体" w:hAnsi="宋体" w:eastAsia="宋体" w:cs="宋体"/>
                <w:sz w:val="24"/>
                <w:szCs w:val="24"/>
                <w:lang w:val="en-US" w:eastAsia="zh-CN"/>
              </w:rPr>
              <w:t>-</w:t>
            </w:r>
            <w:r>
              <w:rPr>
                <w:rFonts w:ascii="宋体" w:hAnsi="宋体" w:eastAsia="宋体" w:cs="宋体"/>
                <w:sz w:val="24"/>
                <w:szCs w:val="24"/>
              </w:rPr>
              <w:t>85mg/L，LAS：1.74</w:t>
            </w:r>
            <w:r>
              <w:rPr>
                <w:rFonts w:hint="eastAsia" w:ascii="宋体" w:hAnsi="宋体" w:eastAsia="宋体" w:cs="宋体"/>
                <w:sz w:val="24"/>
                <w:szCs w:val="24"/>
                <w:lang w:val="en-US" w:eastAsia="zh-CN"/>
              </w:rPr>
              <w:t>-</w:t>
            </w:r>
            <w:r>
              <w:rPr>
                <w:rFonts w:ascii="宋体" w:hAnsi="宋体" w:eastAsia="宋体" w:cs="宋体"/>
                <w:sz w:val="24"/>
                <w:szCs w:val="24"/>
              </w:rPr>
              <w:t>2.6mg/L；综合考虑上述废水水质资料，本项目拆解车间生产废水水质确定为：COD：</w:t>
            </w:r>
            <w:r>
              <w:rPr>
                <w:rFonts w:hint="eastAsia" w:ascii="宋体" w:hAnsi="宋体" w:eastAsia="宋体" w:cs="宋体"/>
                <w:sz w:val="24"/>
                <w:szCs w:val="24"/>
                <w:lang w:val="en-US" w:eastAsia="zh-CN"/>
              </w:rPr>
              <w:t>450</w:t>
            </w:r>
            <w:r>
              <w:rPr>
                <w:rFonts w:ascii="宋体" w:hAnsi="宋体" w:eastAsia="宋体" w:cs="宋体"/>
                <w:sz w:val="24"/>
                <w:szCs w:val="24"/>
              </w:rPr>
              <w:t>mg/L、SS：</w:t>
            </w:r>
            <w:r>
              <w:rPr>
                <w:rFonts w:hint="eastAsia" w:ascii="宋体" w:hAnsi="宋体" w:eastAsia="宋体" w:cs="宋体"/>
                <w:sz w:val="24"/>
                <w:szCs w:val="24"/>
                <w:lang w:val="en-US" w:eastAsia="zh-CN"/>
              </w:rPr>
              <w:t>65</w:t>
            </w:r>
            <w:r>
              <w:rPr>
                <w:rFonts w:ascii="宋体" w:hAnsi="宋体" w:eastAsia="宋体" w:cs="宋体"/>
                <w:sz w:val="24"/>
                <w:szCs w:val="24"/>
              </w:rPr>
              <w:t>mg/L、石油类：</w:t>
            </w:r>
            <w:r>
              <w:rPr>
                <w:rFonts w:hint="eastAsia" w:ascii="宋体" w:hAnsi="宋体" w:eastAsia="宋体" w:cs="宋体"/>
                <w:sz w:val="24"/>
                <w:szCs w:val="24"/>
                <w:lang w:val="en-US" w:eastAsia="zh-CN"/>
              </w:rPr>
              <w:t>260</w:t>
            </w:r>
            <w:r>
              <w:rPr>
                <w:rFonts w:ascii="宋体" w:hAnsi="宋体" w:eastAsia="宋体" w:cs="宋体"/>
                <w:sz w:val="24"/>
                <w:szCs w:val="24"/>
              </w:rPr>
              <w:t>mg/L、BOD5：85mg/L、LAS：2.0mg/L、总磷：0.2mg/L、氨氮：2.0mg/L、总氮：4.0mg/L，不含总铅、总铬、总镉等重金属污染物。</w:t>
            </w:r>
          </w:p>
          <w:p w14:paraId="5F1F666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ascii="宋体" w:hAnsi="宋体" w:eastAsia="宋体" w:cs="宋体"/>
                <w:sz w:val="24"/>
                <w:szCs w:val="24"/>
              </w:rPr>
              <w:t>综上所述，本项目生产废水共</w:t>
            </w:r>
            <w:r>
              <w:rPr>
                <w:rFonts w:hint="eastAsia" w:ascii="宋体" w:hAnsi="宋体" w:eastAsia="宋体" w:cs="宋体"/>
                <w:sz w:val="24"/>
                <w:szCs w:val="24"/>
                <w:lang w:val="en-US" w:eastAsia="zh-CN"/>
              </w:rPr>
              <w:t>168.97</w:t>
            </w:r>
            <w:r>
              <w:rPr>
                <w:rFonts w:ascii="宋体" w:hAnsi="宋体" w:eastAsia="宋体" w:cs="宋体"/>
                <w:sz w:val="24"/>
                <w:szCs w:val="24"/>
              </w:rPr>
              <w:t>t/a，生产废水排入厂区内的污水池，经油水分离器处理达</w:t>
            </w:r>
            <w:r>
              <w:rPr>
                <w:rFonts w:hint="eastAsia" w:ascii="宋体" w:hAnsi="宋体" w:eastAsia="宋体" w:cs="宋体"/>
                <w:sz w:val="24"/>
                <w:szCs w:val="24"/>
                <w:lang w:val="en-US" w:eastAsia="zh-CN"/>
              </w:rPr>
              <w:t>68团</w:t>
            </w:r>
            <w:r>
              <w:rPr>
                <w:rFonts w:ascii="宋体" w:hAnsi="宋体" w:eastAsia="宋体" w:cs="宋体"/>
                <w:sz w:val="24"/>
                <w:szCs w:val="24"/>
              </w:rPr>
              <w:t>污水处理厂接管标准后进入</w:t>
            </w:r>
            <w:r>
              <w:rPr>
                <w:rFonts w:hint="eastAsia" w:ascii="宋体" w:hAnsi="宋体" w:eastAsia="宋体" w:cs="宋体"/>
                <w:sz w:val="24"/>
                <w:szCs w:val="24"/>
                <w:lang w:val="en-US" w:eastAsia="zh-CN"/>
              </w:rPr>
              <w:t>68团</w:t>
            </w:r>
            <w:r>
              <w:rPr>
                <w:rFonts w:ascii="宋体" w:hAnsi="宋体" w:eastAsia="宋体" w:cs="宋体"/>
                <w:sz w:val="24"/>
                <w:szCs w:val="24"/>
              </w:rPr>
              <w:t>污水处理厂进行深度处理，尾水执行《城镇污水处理厂污染物排放标准》（GB18918-2002）一级</w:t>
            </w:r>
            <w:r>
              <w:rPr>
                <w:rFonts w:hint="eastAsia" w:ascii="宋体" w:hAnsi="宋体" w:eastAsia="宋体" w:cs="宋体"/>
                <w:sz w:val="24"/>
                <w:szCs w:val="24"/>
                <w:lang w:val="en-US" w:eastAsia="zh-CN"/>
              </w:rPr>
              <w:t>A</w:t>
            </w:r>
            <w:r>
              <w:rPr>
                <w:rFonts w:ascii="宋体" w:hAnsi="宋体" w:eastAsia="宋体" w:cs="宋体"/>
                <w:sz w:val="24"/>
                <w:szCs w:val="24"/>
              </w:rPr>
              <w:t>标准。</w:t>
            </w:r>
          </w:p>
          <w:p w14:paraId="6DF461D2">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（2）生活废水</w:t>
            </w:r>
          </w:p>
          <w:p w14:paraId="4FB5444A">
            <w:pPr>
              <w:pStyle w:val="36"/>
              <w:numPr>
                <w:ilvl w:val="0"/>
                <w:numId w:val="0"/>
              </w:num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本项目工作人员7人，年工作300天，用水定额根据《新疆维吾尔自治区生活用水定额》确定为50-60L/人·日，本项目生活用水定为60L/人·日，则生活用水量为0.42m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/d（126m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/a），排污系数取为0.8，则废水产生量为0.336m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/d（100.8m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，各污染物浓度为：</w:t>
            </w:r>
            <w:r>
              <w:rPr>
                <w:rFonts w:ascii="宋体" w:hAnsi="宋体" w:eastAsia="宋体" w:cs="宋体"/>
                <w:sz w:val="24"/>
                <w:szCs w:val="24"/>
              </w:rPr>
              <w:t>COD：250mg/L、BOD5：120mg/L、SS：150mg/L、NH</w:t>
            </w:r>
            <w:r>
              <w:rPr>
                <w:rFonts w:ascii="宋体" w:hAnsi="宋体" w:eastAsia="宋体" w:cs="宋体"/>
                <w:sz w:val="24"/>
                <w:szCs w:val="24"/>
                <w:vertAlign w:val="subscript"/>
              </w:rPr>
              <w:t>3</w:t>
            </w:r>
            <w:r>
              <w:rPr>
                <w:rFonts w:ascii="宋体" w:hAnsi="宋体" w:eastAsia="宋体" w:cs="宋体"/>
                <w:sz w:val="24"/>
                <w:szCs w:val="24"/>
              </w:rPr>
              <w:t>-N：25mg/L、动植物油：30mg/L</w:t>
            </w:r>
            <w:r>
              <w:rPr>
                <w:rFonts w:hint="eastAsia" w:ascii="Times New Roman" w:hAnsi="Times New Roman" w:eastAsia="宋体" w:cs="Times New Roman"/>
                <w:color w:val="auto"/>
                <w:kern w:val="2"/>
                <w:sz w:val="24"/>
                <w:szCs w:val="24"/>
                <w:highlight w:val="none"/>
                <w:lang w:val="en-US" w:eastAsia="zh-CN" w:bidi="ar-SA"/>
              </w:rPr>
              <w:t>。通过厂区内排水管网排至68团污水处理厂。</w:t>
            </w:r>
          </w:p>
          <w:p w14:paraId="41C86F75">
            <w:pPr>
              <w:pStyle w:val="36"/>
              <w:numPr>
                <w:ilvl w:val="0"/>
                <w:numId w:val="0"/>
              </w:numPr>
              <w:spacing w:line="360" w:lineRule="auto"/>
              <w:ind w:firstLine="480" w:firstLineChars="200"/>
              <w:rPr>
                <w:rFonts w:hint="eastAsia"/>
                <w:lang w:val="en-US" w:eastAsia="zh-CN"/>
              </w:rPr>
            </w:pPr>
            <w:r>
              <w:rPr>
                <w:rFonts w:hint="eastAsia"/>
                <w:lang w:val="en-US" w:eastAsia="zh-CN"/>
              </w:rPr>
              <w:t>根据《排污许可证申请与核发技术规范废弃资源加工工业》(HJ1034-2019)，项目车间清洗废水经场内污水处理设施采用（均质+隔油+絮凝+沉淀）处理，本项目污水处理设施对污染物的除去效率及项目废水污染物产生、排放、处理情况见下表。</w:t>
            </w:r>
          </w:p>
          <w:p w14:paraId="4258CD38">
            <w:pPr>
              <w:rPr>
                <w:rFonts w:hint="default"/>
                <w:lang w:val="en-US" w:eastAsia="zh-CN"/>
              </w:rPr>
            </w:pPr>
            <w:r>
              <w:rPr>
                <w:rFonts w:hint="eastAsia" w:ascii="宋体" w:hAnsi="宋体" w:cs="宋体"/>
                <w:b/>
                <w:bCs/>
                <w:sz w:val="24"/>
                <w:szCs w:val="24"/>
                <w:lang w:val="en-US" w:eastAsia="zh-CN"/>
              </w:rPr>
              <w:t>表4-8                   项目废水产排情况一览表</w:t>
            </w:r>
          </w:p>
          <w:tbl>
            <w:tblPr>
              <w:tblStyle w:val="2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52"/>
              <w:gridCol w:w="952"/>
              <w:gridCol w:w="952"/>
              <w:gridCol w:w="954"/>
              <w:gridCol w:w="1055"/>
              <w:gridCol w:w="959"/>
              <w:gridCol w:w="956"/>
              <w:gridCol w:w="956"/>
            </w:tblGrid>
            <w:tr w14:paraId="1917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46" w:type="pct"/>
                  <w:vMerge w:val="restart"/>
                  <w:vAlign w:val="center"/>
                </w:tcPr>
                <w:p w14:paraId="597D2A0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污染源</w:t>
                  </w:r>
                </w:p>
              </w:tc>
              <w:tc>
                <w:tcPr>
                  <w:tcW w:w="548" w:type="pct"/>
                  <w:vMerge w:val="restart"/>
                  <w:vAlign w:val="center"/>
                </w:tcPr>
                <w:p w14:paraId="73EAF83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废水量m</w:t>
                  </w:r>
                  <w:r>
                    <w:rPr>
                      <w:rFonts w:hint="eastAsia" w:cs="Times New Roman"/>
                      <w:i w:val="0"/>
                      <w:iCs w:val="0"/>
                      <w:color w:val="000000"/>
                      <w:kern w:val="0"/>
                      <w:sz w:val="21"/>
                      <w:szCs w:val="21"/>
                      <w:u w:val="none"/>
                      <w:vertAlign w:val="superscript"/>
                      <w:lang w:val="en-US" w:eastAsia="zh-CN" w:bidi="ar"/>
                    </w:rPr>
                    <w:t>3</w:t>
                  </w:r>
                  <w:r>
                    <w:rPr>
                      <w:rFonts w:hint="eastAsia" w:cs="Times New Roman"/>
                      <w:i w:val="0"/>
                      <w:iCs w:val="0"/>
                      <w:color w:val="000000"/>
                      <w:kern w:val="0"/>
                      <w:sz w:val="21"/>
                      <w:szCs w:val="21"/>
                      <w:u w:val="none"/>
                      <w:lang w:val="en-US" w:eastAsia="zh-CN" w:bidi="ar"/>
                    </w:rPr>
                    <w:t>/a</w:t>
                  </w:r>
                </w:p>
              </w:tc>
              <w:tc>
                <w:tcPr>
                  <w:tcW w:w="548" w:type="pct"/>
                  <w:vMerge w:val="restart"/>
                  <w:vAlign w:val="center"/>
                </w:tcPr>
                <w:p w14:paraId="6010922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污染物名称</w:t>
                  </w:r>
                </w:p>
              </w:tc>
              <w:tc>
                <w:tcPr>
                  <w:tcW w:w="548" w:type="pct"/>
                  <w:vMerge w:val="restart"/>
                  <w:vAlign w:val="center"/>
                </w:tcPr>
                <w:p w14:paraId="61ED1627">
                  <w:pPr>
                    <w:keepNext w:val="0"/>
                    <w:keepLines w:val="0"/>
                    <w:widowControl/>
                    <w:suppressLineNumbers w:val="0"/>
                    <w:jc w:val="center"/>
                    <w:textAlignment w:val="center"/>
                    <w:rPr>
                      <w:rFonts w:hint="default"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产生浓度mg/L</w:t>
                  </w:r>
                </w:p>
              </w:tc>
              <w:tc>
                <w:tcPr>
                  <w:tcW w:w="1708" w:type="pct"/>
                  <w:gridSpan w:val="3"/>
                  <w:vAlign w:val="center"/>
                </w:tcPr>
                <w:p w14:paraId="05F33006">
                  <w:pPr>
                    <w:keepNext w:val="0"/>
                    <w:keepLines w:val="0"/>
                    <w:widowControl/>
                    <w:suppressLineNumbers w:val="0"/>
                    <w:jc w:val="center"/>
                    <w:textAlignment w:val="center"/>
                    <w:rPr>
                      <w:rFonts w:hint="eastAsia"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z w:val="21"/>
                      <w:szCs w:val="21"/>
                    </w:rPr>
                    <w:t>治理设施</w:t>
                  </w:r>
                </w:p>
              </w:tc>
              <w:tc>
                <w:tcPr>
                  <w:tcW w:w="550" w:type="pct"/>
                  <w:vMerge w:val="restart"/>
                  <w:vAlign w:val="center"/>
                </w:tcPr>
                <w:p w14:paraId="7792A22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排放浓度</w:t>
                  </w:r>
                  <w:r>
                    <w:rPr>
                      <w:rFonts w:hint="eastAsia" w:cs="Times New Roman"/>
                      <w:i w:val="0"/>
                      <w:iCs w:val="0"/>
                      <w:color w:val="000000"/>
                      <w:kern w:val="0"/>
                      <w:sz w:val="21"/>
                      <w:szCs w:val="21"/>
                      <w:u w:val="none"/>
                      <w:lang w:val="en-US" w:eastAsia="zh-CN" w:bidi="ar"/>
                    </w:rPr>
                    <w:t>mg/L</w:t>
                  </w:r>
                </w:p>
              </w:tc>
              <w:tc>
                <w:tcPr>
                  <w:tcW w:w="550" w:type="pct"/>
                  <w:vMerge w:val="restart"/>
                  <w:vAlign w:val="center"/>
                </w:tcPr>
                <w:p w14:paraId="745DE73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排放量t/a</w:t>
                  </w:r>
                </w:p>
              </w:tc>
            </w:tr>
            <w:tr w14:paraId="46A7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46" w:type="pct"/>
                  <w:vMerge w:val="continue"/>
                  <w:vAlign w:val="center"/>
                </w:tcPr>
                <w:p w14:paraId="3FE163C0">
                  <w:pPr>
                    <w:keepNext w:val="0"/>
                    <w:keepLines w:val="0"/>
                    <w:widowControl/>
                    <w:suppressLineNumbers w:val="0"/>
                    <w:jc w:val="center"/>
                    <w:textAlignment w:val="center"/>
                  </w:pPr>
                </w:p>
              </w:tc>
              <w:tc>
                <w:tcPr>
                  <w:tcW w:w="548" w:type="pct"/>
                  <w:vMerge w:val="continue"/>
                  <w:vAlign w:val="center"/>
                </w:tcPr>
                <w:p w14:paraId="34664315">
                  <w:pPr>
                    <w:keepNext w:val="0"/>
                    <w:keepLines w:val="0"/>
                    <w:widowControl/>
                    <w:suppressLineNumbers w:val="0"/>
                    <w:jc w:val="center"/>
                    <w:textAlignment w:val="center"/>
                  </w:pPr>
                </w:p>
              </w:tc>
              <w:tc>
                <w:tcPr>
                  <w:tcW w:w="548" w:type="pct"/>
                  <w:vMerge w:val="continue"/>
                  <w:vAlign w:val="center"/>
                </w:tcPr>
                <w:p w14:paraId="791F0F16">
                  <w:pPr>
                    <w:keepNext w:val="0"/>
                    <w:keepLines w:val="0"/>
                    <w:widowControl/>
                    <w:suppressLineNumbers w:val="0"/>
                    <w:jc w:val="center"/>
                    <w:textAlignment w:val="center"/>
                  </w:pPr>
                </w:p>
              </w:tc>
              <w:tc>
                <w:tcPr>
                  <w:tcW w:w="548" w:type="pct"/>
                  <w:vMerge w:val="continue"/>
                  <w:vAlign w:val="center"/>
                </w:tcPr>
                <w:p w14:paraId="199E694F">
                  <w:pPr>
                    <w:keepNext w:val="0"/>
                    <w:keepLines w:val="0"/>
                    <w:widowControl/>
                    <w:suppressLineNumbers w:val="0"/>
                    <w:jc w:val="center"/>
                    <w:textAlignment w:val="center"/>
                    <w:rPr>
                      <w:b w:val="0"/>
                      <w:bCs w:val="0"/>
                    </w:rPr>
                  </w:pPr>
                </w:p>
              </w:tc>
              <w:tc>
                <w:tcPr>
                  <w:tcW w:w="549" w:type="pct"/>
                  <w:vAlign w:val="center"/>
                </w:tcPr>
                <w:p w14:paraId="5062F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z w:val="21"/>
                      <w:szCs w:val="21"/>
                    </w:rPr>
                    <w:t>治理设施名称及工艺</w:t>
                  </w:r>
                </w:p>
              </w:tc>
              <w:tc>
                <w:tcPr>
                  <w:tcW w:w="607" w:type="pct"/>
                  <w:vAlign w:val="center"/>
                </w:tcPr>
                <w:p w14:paraId="12100E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z w:val="21"/>
                      <w:szCs w:val="21"/>
                    </w:rPr>
                    <w:t>处理能力（m</w:t>
                  </w:r>
                  <w:r>
                    <w:rPr>
                      <w:rFonts w:hint="default" w:ascii="Times New Roman" w:hAnsi="Times New Roman" w:eastAsia="宋体" w:cs="Times New Roman"/>
                      <w:b w:val="0"/>
                      <w:bCs w:val="0"/>
                      <w:color w:val="000000"/>
                      <w:sz w:val="21"/>
                      <w:szCs w:val="21"/>
                      <w:vertAlign w:val="superscript"/>
                    </w:rPr>
                    <w:t>3</w:t>
                  </w:r>
                  <w:r>
                    <w:rPr>
                      <w:rFonts w:hint="default" w:ascii="Times New Roman" w:hAnsi="Times New Roman" w:eastAsia="宋体" w:cs="Times New Roman"/>
                      <w:b w:val="0"/>
                      <w:bCs w:val="0"/>
                      <w:color w:val="000000"/>
                      <w:sz w:val="21"/>
                      <w:szCs w:val="21"/>
                    </w:rPr>
                    <w:t>/d）</w:t>
                  </w:r>
                </w:p>
              </w:tc>
              <w:tc>
                <w:tcPr>
                  <w:tcW w:w="550" w:type="pct"/>
                  <w:vAlign w:val="center"/>
                </w:tcPr>
                <w:p w14:paraId="0166F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z w:val="21"/>
                      <w:szCs w:val="21"/>
                    </w:rPr>
                    <w:t>治理效率（%）</w:t>
                  </w:r>
                </w:p>
              </w:tc>
              <w:tc>
                <w:tcPr>
                  <w:tcW w:w="550" w:type="pct"/>
                  <w:vMerge w:val="continue"/>
                  <w:vAlign w:val="center"/>
                </w:tcPr>
                <w:p w14:paraId="3215D63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Merge w:val="continue"/>
                  <w:vAlign w:val="center"/>
                </w:tcPr>
                <w:p w14:paraId="51132C4F">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r>
            <w:tr w14:paraId="1E0A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restart"/>
                  <w:vAlign w:val="center"/>
                </w:tcPr>
                <w:p w14:paraId="20EF1385">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生产废水</w:t>
                  </w:r>
                </w:p>
              </w:tc>
              <w:tc>
                <w:tcPr>
                  <w:tcW w:w="548" w:type="pct"/>
                  <w:vMerge w:val="restart"/>
                  <w:vAlign w:val="center"/>
                </w:tcPr>
                <w:p w14:paraId="26893A2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168.97</w:t>
                  </w:r>
                </w:p>
              </w:tc>
              <w:tc>
                <w:tcPr>
                  <w:tcW w:w="548" w:type="pct"/>
                  <w:shd w:val="clear" w:color="auto" w:fill="auto"/>
                  <w:vAlign w:val="center"/>
                </w:tcPr>
                <w:p w14:paraId="3A2E728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COD</w:t>
                  </w:r>
                  <w:r>
                    <w:rPr>
                      <w:rFonts w:hint="eastAsia" w:cs="Times New Roman"/>
                      <w:i w:val="0"/>
                      <w:iCs w:val="0"/>
                      <w:color w:val="000000"/>
                      <w:kern w:val="0"/>
                      <w:sz w:val="21"/>
                      <w:szCs w:val="21"/>
                      <w:u w:val="none"/>
                      <w:vertAlign w:val="subscript"/>
                      <w:lang w:val="en-US" w:eastAsia="zh-CN" w:bidi="ar"/>
                    </w:rPr>
                    <w:t>cr</w:t>
                  </w:r>
                </w:p>
              </w:tc>
              <w:tc>
                <w:tcPr>
                  <w:tcW w:w="548" w:type="pct"/>
                  <w:vAlign w:val="center"/>
                </w:tcPr>
                <w:p w14:paraId="3FFBBCF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450</w:t>
                  </w:r>
                </w:p>
              </w:tc>
              <w:tc>
                <w:tcPr>
                  <w:tcW w:w="549" w:type="pct"/>
                  <w:vMerge w:val="restart"/>
                  <w:vAlign w:val="center"/>
                </w:tcPr>
                <w:p w14:paraId="78D811A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油水分离器</w:t>
                  </w:r>
                </w:p>
              </w:tc>
              <w:tc>
                <w:tcPr>
                  <w:tcW w:w="607" w:type="pct"/>
                  <w:vMerge w:val="restart"/>
                  <w:vAlign w:val="center"/>
                </w:tcPr>
                <w:p w14:paraId="3F21214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550" w:type="pct"/>
                  <w:vAlign w:val="center"/>
                </w:tcPr>
                <w:p w14:paraId="0D9666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78</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14B9D4B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50" w:type="pct"/>
                  <w:vAlign w:val="center"/>
                </w:tcPr>
                <w:p w14:paraId="46B9FAD1">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0.01673 </w:t>
                  </w:r>
                </w:p>
              </w:tc>
            </w:tr>
            <w:tr w14:paraId="6D9A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731DC034">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6316B6C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377AFBE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BOD</w:t>
                  </w:r>
                  <w:r>
                    <w:rPr>
                      <w:rFonts w:hint="eastAsia" w:cs="Times New Roman"/>
                      <w:i w:val="0"/>
                      <w:iCs w:val="0"/>
                      <w:color w:val="000000"/>
                      <w:kern w:val="0"/>
                      <w:sz w:val="21"/>
                      <w:szCs w:val="21"/>
                      <w:u w:val="none"/>
                      <w:vertAlign w:val="subscript"/>
                      <w:lang w:val="en-US" w:eastAsia="zh-CN" w:bidi="ar"/>
                    </w:rPr>
                    <w:t>5</w:t>
                  </w:r>
                </w:p>
              </w:tc>
              <w:tc>
                <w:tcPr>
                  <w:tcW w:w="548" w:type="pct"/>
                  <w:vAlign w:val="center"/>
                </w:tcPr>
                <w:p w14:paraId="4934C29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85</w:t>
                  </w:r>
                </w:p>
              </w:tc>
              <w:tc>
                <w:tcPr>
                  <w:tcW w:w="549" w:type="pct"/>
                  <w:vMerge w:val="continue"/>
                  <w:vAlign w:val="center"/>
                </w:tcPr>
                <w:p w14:paraId="4530BAD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40AD793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5148426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79</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4162F58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17.85</w:t>
                  </w:r>
                </w:p>
              </w:tc>
              <w:tc>
                <w:tcPr>
                  <w:tcW w:w="550" w:type="pct"/>
                  <w:vAlign w:val="center"/>
                </w:tcPr>
                <w:p w14:paraId="084DFF95">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0.00302 </w:t>
                  </w:r>
                </w:p>
              </w:tc>
            </w:tr>
            <w:tr w14:paraId="1136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690A99C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1A5253D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4F56D4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SS</w:t>
                  </w:r>
                </w:p>
              </w:tc>
              <w:tc>
                <w:tcPr>
                  <w:tcW w:w="548" w:type="pct"/>
                  <w:vAlign w:val="center"/>
                </w:tcPr>
                <w:p w14:paraId="338A830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65</w:t>
                  </w:r>
                </w:p>
              </w:tc>
              <w:tc>
                <w:tcPr>
                  <w:tcW w:w="549" w:type="pct"/>
                  <w:vMerge w:val="continue"/>
                  <w:vAlign w:val="center"/>
                </w:tcPr>
                <w:p w14:paraId="7E110E4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6D67875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33FF4BA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85</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624B341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9.75</w:t>
                  </w:r>
                </w:p>
              </w:tc>
              <w:tc>
                <w:tcPr>
                  <w:tcW w:w="550" w:type="pct"/>
                  <w:vAlign w:val="center"/>
                </w:tcPr>
                <w:p w14:paraId="59E905A0">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0.00165 </w:t>
                  </w:r>
                </w:p>
              </w:tc>
            </w:tr>
            <w:tr w14:paraId="3F59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589847E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4FC4B73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738245E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石油类</w:t>
                  </w:r>
                </w:p>
              </w:tc>
              <w:tc>
                <w:tcPr>
                  <w:tcW w:w="548" w:type="pct"/>
                  <w:vAlign w:val="center"/>
                </w:tcPr>
                <w:p w14:paraId="4E2E32CF">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260</w:t>
                  </w:r>
                </w:p>
              </w:tc>
              <w:tc>
                <w:tcPr>
                  <w:tcW w:w="549" w:type="pct"/>
                  <w:vMerge w:val="continue"/>
                  <w:vAlign w:val="center"/>
                </w:tcPr>
                <w:p w14:paraId="3E2BE0D2">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25E43D2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1758F60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cs="Times New Roman"/>
                      <w:i w:val="0"/>
                      <w:iCs w:val="0"/>
                      <w:color w:val="000000"/>
                      <w:kern w:val="0"/>
                      <w:sz w:val="21"/>
                      <w:szCs w:val="21"/>
                      <w:u w:val="none"/>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508EC0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13</w:t>
                  </w:r>
                </w:p>
              </w:tc>
              <w:tc>
                <w:tcPr>
                  <w:tcW w:w="550" w:type="pct"/>
                  <w:vAlign w:val="center"/>
                </w:tcPr>
                <w:p w14:paraId="150BF065">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219</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2858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4FA3B9B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29885D3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0033C6C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氨氮</w:t>
                  </w:r>
                </w:p>
              </w:tc>
              <w:tc>
                <w:tcPr>
                  <w:tcW w:w="548" w:type="pct"/>
                  <w:vAlign w:val="center"/>
                </w:tcPr>
                <w:p w14:paraId="1E39814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w:t>
                  </w:r>
                </w:p>
              </w:tc>
              <w:tc>
                <w:tcPr>
                  <w:tcW w:w="549" w:type="pct"/>
                  <w:vMerge w:val="continue"/>
                  <w:vAlign w:val="center"/>
                </w:tcPr>
                <w:p w14:paraId="6A87230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24F550A8">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7BC037D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750CDAA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550" w:type="pct"/>
                  <w:vAlign w:val="center"/>
                </w:tcPr>
                <w:p w14:paraId="23A0E8E7">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0.00008 </w:t>
                  </w:r>
                </w:p>
              </w:tc>
            </w:tr>
            <w:tr w14:paraId="3BEB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290A00D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40BB8F3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478ABCD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总磷</w:t>
                  </w:r>
                </w:p>
              </w:tc>
              <w:tc>
                <w:tcPr>
                  <w:tcW w:w="548" w:type="pct"/>
                  <w:vAlign w:val="center"/>
                </w:tcPr>
                <w:p w14:paraId="696CF8D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0.2</w:t>
                  </w:r>
                </w:p>
              </w:tc>
              <w:tc>
                <w:tcPr>
                  <w:tcW w:w="549" w:type="pct"/>
                  <w:vMerge w:val="continue"/>
                  <w:vAlign w:val="center"/>
                </w:tcPr>
                <w:p w14:paraId="09AEF1E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70415AB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242B4C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50" w:type="pct"/>
                  <w:vAlign w:val="center"/>
                </w:tcPr>
                <w:p w14:paraId="5E04AA0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550" w:type="pct"/>
                  <w:vAlign w:val="center"/>
                </w:tcPr>
                <w:p w14:paraId="55DEA0F1">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0.00003 </w:t>
                  </w:r>
                </w:p>
              </w:tc>
            </w:tr>
            <w:tr w14:paraId="6083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1B16A04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16CF374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699301C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总氮</w:t>
                  </w:r>
                </w:p>
              </w:tc>
              <w:tc>
                <w:tcPr>
                  <w:tcW w:w="548" w:type="pct"/>
                  <w:vAlign w:val="center"/>
                </w:tcPr>
                <w:p w14:paraId="718423D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w:t>
                  </w:r>
                </w:p>
              </w:tc>
              <w:tc>
                <w:tcPr>
                  <w:tcW w:w="549" w:type="pct"/>
                  <w:vMerge w:val="continue"/>
                  <w:vAlign w:val="center"/>
                </w:tcPr>
                <w:p w14:paraId="568E280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61C4393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0DE38E3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r>
                    <w:rPr>
                      <w:rFonts w:hint="eastAsia" w:ascii="Times New Roman" w:hAnsi="Times New Roman" w:eastAsia="宋体" w:cs="Times New Roman"/>
                      <w:i w:val="0"/>
                      <w:iCs w:val="0"/>
                      <w:color w:val="000000"/>
                      <w:kern w:val="0"/>
                      <w:sz w:val="21"/>
                      <w:szCs w:val="21"/>
                      <w:u w:val="none"/>
                      <w:lang w:val="en-US" w:eastAsia="zh-CN" w:bidi="ar"/>
                    </w:rPr>
                    <w:t>%</w:t>
                  </w:r>
                </w:p>
              </w:tc>
              <w:tc>
                <w:tcPr>
                  <w:tcW w:w="550" w:type="pct"/>
                  <w:vAlign w:val="center"/>
                </w:tcPr>
                <w:p w14:paraId="2B89360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550" w:type="pct"/>
                  <w:vAlign w:val="center"/>
                </w:tcPr>
                <w:p w14:paraId="0E006A16">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0.00007 </w:t>
                  </w:r>
                </w:p>
              </w:tc>
            </w:tr>
            <w:tr w14:paraId="6544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70764FD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39DEE1F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4967595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LAS</w:t>
                  </w:r>
                </w:p>
              </w:tc>
              <w:tc>
                <w:tcPr>
                  <w:tcW w:w="548" w:type="pct"/>
                  <w:vAlign w:val="center"/>
                </w:tcPr>
                <w:p w14:paraId="2D7682C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w:t>
                  </w:r>
                </w:p>
              </w:tc>
              <w:tc>
                <w:tcPr>
                  <w:tcW w:w="549" w:type="pct"/>
                  <w:vMerge w:val="continue"/>
                  <w:vAlign w:val="center"/>
                </w:tcPr>
                <w:p w14:paraId="3E329BA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Merge w:val="continue"/>
                  <w:vAlign w:val="center"/>
                </w:tcPr>
                <w:p w14:paraId="6923B76A">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7A9338A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50" w:type="pct"/>
                  <w:vAlign w:val="center"/>
                </w:tcPr>
                <w:p w14:paraId="635F52B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50" w:type="pct"/>
                  <w:vAlign w:val="center"/>
                </w:tcPr>
                <w:p w14:paraId="1F98308A">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0.00034 </w:t>
                  </w:r>
                </w:p>
              </w:tc>
            </w:tr>
            <w:tr w14:paraId="645E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restart"/>
                  <w:vAlign w:val="center"/>
                </w:tcPr>
                <w:p w14:paraId="61CE8BB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生活污水</w:t>
                  </w:r>
                </w:p>
              </w:tc>
              <w:tc>
                <w:tcPr>
                  <w:tcW w:w="548" w:type="pct"/>
                  <w:vMerge w:val="restart"/>
                  <w:shd w:val="clear" w:color="auto" w:fill="auto"/>
                  <w:vAlign w:val="center"/>
                </w:tcPr>
                <w:p w14:paraId="44DA15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100.8</w:t>
                  </w:r>
                </w:p>
              </w:tc>
              <w:tc>
                <w:tcPr>
                  <w:tcW w:w="548" w:type="pct"/>
                  <w:shd w:val="clear" w:color="auto" w:fill="auto"/>
                  <w:vAlign w:val="center"/>
                </w:tcPr>
                <w:p w14:paraId="16C99F9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CODcr</w:t>
                  </w:r>
                </w:p>
              </w:tc>
              <w:tc>
                <w:tcPr>
                  <w:tcW w:w="548" w:type="pct"/>
                  <w:vAlign w:val="center"/>
                </w:tcPr>
                <w:p w14:paraId="5A8C72B1">
                  <w:pPr>
                    <w:keepNext w:val="0"/>
                    <w:keepLines w:val="0"/>
                    <w:widowControl/>
                    <w:suppressLineNumbers w:val="0"/>
                    <w:jc w:val="center"/>
                    <w:textAlignment w:val="center"/>
                    <w:rPr>
                      <w:rFonts w:hint="default"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250</w:t>
                  </w:r>
                </w:p>
              </w:tc>
              <w:tc>
                <w:tcPr>
                  <w:tcW w:w="549" w:type="pct"/>
                  <w:vAlign w:val="center"/>
                </w:tcPr>
                <w:p w14:paraId="41AA1CA2">
                  <w:pPr>
                    <w:keepNext w:val="0"/>
                    <w:keepLines w:val="0"/>
                    <w:widowControl/>
                    <w:suppressLineNumbers w:val="0"/>
                    <w:jc w:val="center"/>
                    <w:textAlignment w:val="center"/>
                    <w:rPr>
                      <w:rFonts w:hint="eastAsia" w:cs="Times New Roman"/>
                      <w:i w:val="0"/>
                      <w:iCs w:val="0"/>
                      <w:color w:val="000000"/>
                      <w:kern w:val="0"/>
                      <w:sz w:val="21"/>
                      <w:szCs w:val="21"/>
                      <w:highlight w:val="none"/>
                      <w:u w:val="none"/>
                      <w:lang w:val="en-US" w:eastAsia="zh-CN" w:bidi="ar"/>
                    </w:rPr>
                  </w:pPr>
                </w:p>
              </w:tc>
              <w:tc>
                <w:tcPr>
                  <w:tcW w:w="607" w:type="pct"/>
                  <w:vAlign w:val="center"/>
                </w:tcPr>
                <w:p w14:paraId="47F07B38">
                  <w:pPr>
                    <w:keepNext w:val="0"/>
                    <w:keepLines w:val="0"/>
                    <w:widowControl/>
                    <w:suppressLineNumbers w:val="0"/>
                    <w:jc w:val="center"/>
                    <w:textAlignment w:val="center"/>
                    <w:rPr>
                      <w:rFonts w:hint="eastAsia" w:cs="Times New Roman"/>
                      <w:i w:val="0"/>
                      <w:iCs w:val="0"/>
                      <w:color w:val="000000"/>
                      <w:kern w:val="0"/>
                      <w:sz w:val="21"/>
                      <w:szCs w:val="21"/>
                      <w:highlight w:val="none"/>
                      <w:u w:val="none"/>
                      <w:lang w:val="en-US" w:eastAsia="zh-CN" w:bidi="ar"/>
                    </w:rPr>
                  </w:pPr>
                </w:p>
              </w:tc>
              <w:tc>
                <w:tcPr>
                  <w:tcW w:w="550" w:type="pct"/>
                  <w:vAlign w:val="center"/>
                </w:tcPr>
                <w:p w14:paraId="210AB9F9">
                  <w:pPr>
                    <w:keepNext w:val="0"/>
                    <w:keepLines w:val="0"/>
                    <w:widowControl/>
                    <w:suppressLineNumbers w:val="0"/>
                    <w:jc w:val="center"/>
                    <w:textAlignment w:val="center"/>
                    <w:rPr>
                      <w:rFonts w:hint="default"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4D682321">
                  <w:pPr>
                    <w:keepNext w:val="0"/>
                    <w:keepLines w:val="0"/>
                    <w:widowControl/>
                    <w:suppressLineNumbers w:val="0"/>
                    <w:jc w:val="center"/>
                    <w:textAlignment w:val="center"/>
                    <w:rPr>
                      <w:rFonts w:hint="eastAsia"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5605B00E">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highlight w:val="none"/>
                      <w:u w:val="none"/>
                      <w:lang w:val="en-US" w:eastAsia="zh-CN" w:bidi="ar"/>
                    </w:rPr>
                  </w:pPr>
                  <w:r>
                    <w:rPr>
                      <w:rFonts w:hint="eastAsia" w:ascii="Times New Roman" w:hAnsi="Times New Roman" w:cs="Times New Roman"/>
                      <w:i w:val="0"/>
                      <w:iCs w:val="0"/>
                      <w:color w:val="000000"/>
                      <w:kern w:val="0"/>
                      <w:sz w:val="21"/>
                      <w:szCs w:val="21"/>
                      <w:highlight w:val="none"/>
                      <w:u w:val="none"/>
                      <w:lang w:val="en-US" w:eastAsia="zh-CN" w:bidi="ar"/>
                    </w:rPr>
                    <w:t xml:space="preserve">0.0252 </w:t>
                  </w:r>
                </w:p>
              </w:tc>
            </w:tr>
            <w:tr w14:paraId="2AE0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00F9B172">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shd w:val="clear" w:color="auto" w:fill="auto"/>
                  <w:vAlign w:val="center"/>
                </w:tcPr>
                <w:p w14:paraId="421D7C6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548" w:type="pct"/>
                  <w:shd w:val="clear" w:color="auto" w:fill="auto"/>
                  <w:vAlign w:val="center"/>
                </w:tcPr>
                <w:p w14:paraId="6888F48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BOD5</w:t>
                  </w:r>
                </w:p>
              </w:tc>
              <w:tc>
                <w:tcPr>
                  <w:tcW w:w="548" w:type="pct"/>
                  <w:vAlign w:val="center"/>
                </w:tcPr>
                <w:p w14:paraId="435D590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120</w:t>
                  </w:r>
                </w:p>
              </w:tc>
              <w:tc>
                <w:tcPr>
                  <w:tcW w:w="549" w:type="pct"/>
                  <w:vAlign w:val="center"/>
                </w:tcPr>
                <w:p w14:paraId="02CF1F4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Align w:val="center"/>
                </w:tcPr>
                <w:p w14:paraId="29674B3C">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728C1D26">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2214FEA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572E155E">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 xml:space="preserve">0.0121 </w:t>
                  </w:r>
                </w:p>
              </w:tc>
            </w:tr>
            <w:tr w14:paraId="590C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020FB3A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1EDF1C3B">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76B9B99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SS</w:t>
                  </w:r>
                </w:p>
              </w:tc>
              <w:tc>
                <w:tcPr>
                  <w:tcW w:w="548" w:type="pct"/>
                  <w:vAlign w:val="center"/>
                </w:tcPr>
                <w:p w14:paraId="35D5B2A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240</w:t>
                  </w:r>
                </w:p>
              </w:tc>
              <w:tc>
                <w:tcPr>
                  <w:tcW w:w="549" w:type="pct"/>
                  <w:vAlign w:val="center"/>
                </w:tcPr>
                <w:p w14:paraId="023A7F4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Align w:val="center"/>
                </w:tcPr>
                <w:p w14:paraId="3887D9FF">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7046AD8C">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4A33249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0C5A343E">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 xml:space="preserve">0.0242 </w:t>
                  </w:r>
                </w:p>
              </w:tc>
            </w:tr>
            <w:tr w14:paraId="4CA4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26105829">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480EF831">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7143022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NH</w:t>
                  </w:r>
                  <w:r>
                    <w:rPr>
                      <w:rFonts w:hint="eastAsia" w:cs="Times New Roman"/>
                      <w:i w:val="0"/>
                      <w:iCs w:val="0"/>
                      <w:color w:val="000000"/>
                      <w:kern w:val="0"/>
                      <w:sz w:val="21"/>
                      <w:szCs w:val="21"/>
                      <w:u w:val="none"/>
                      <w:vertAlign w:val="subscript"/>
                      <w:lang w:val="en-US" w:eastAsia="zh-CN" w:bidi="ar"/>
                    </w:rPr>
                    <w:t>3</w:t>
                  </w:r>
                  <w:r>
                    <w:rPr>
                      <w:rFonts w:hint="eastAsia" w:cs="Times New Roman"/>
                      <w:i w:val="0"/>
                      <w:iCs w:val="0"/>
                      <w:color w:val="000000"/>
                      <w:kern w:val="0"/>
                      <w:sz w:val="21"/>
                      <w:szCs w:val="21"/>
                      <w:u w:val="none"/>
                      <w:lang w:val="en-US" w:eastAsia="zh-CN" w:bidi="ar"/>
                    </w:rPr>
                    <w:t>-N</w:t>
                  </w:r>
                </w:p>
              </w:tc>
              <w:tc>
                <w:tcPr>
                  <w:tcW w:w="548" w:type="pct"/>
                  <w:vAlign w:val="center"/>
                </w:tcPr>
                <w:p w14:paraId="6BE8E75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30</w:t>
                  </w:r>
                </w:p>
              </w:tc>
              <w:tc>
                <w:tcPr>
                  <w:tcW w:w="549" w:type="pct"/>
                  <w:vAlign w:val="center"/>
                </w:tcPr>
                <w:p w14:paraId="722FB7D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Align w:val="center"/>
                </w:tcPr>
                <w:p w14:paraId="5400649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2D7C96BB">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63F72C5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19F3C630">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 xml:space="preserve">0.0030 </w:t>
                  </w:r>
                </w:p>
              </w:tc>
            </w:tr>
            <w:tr w14:paraId="5EBB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6" w:type="pct"/>
                  <w:vMerge w:val="continue"/>
                  <w:vAlign w:val="center"/>
                </w:tcPr>
                <w:p w14:paraId="1AA31543">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48" w:type="pct"/>
                  <w:vMerge w:val="continue"/>
                  <w:vAlign w:val="center"/>
                </w:tcPr>
                <w:p w14:paraId="2917579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p>
              </w:tc>
              <w:tc>
                <w:tcPr>
                  <w:tcW w:w="548" w:type="pct"/>
                  <w:shd w:val="clear" w:color="auto" w:fill="auto"/>
                  <w:vAlign w:val="center"/>
                </w:tcPr>
                <w:p w14:paraId="603940D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动植物油</w:t>
                  </w:r>
                </w:p>
              </w:tc>
              <w:tc>
                <w:tcPr>
                  <w:tcW w:w="548" w:type="pct"/>
                  <w:vAlign w:val="center"/>
                </w:tcPr>
                <w:p w14:paraId="73826FE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100</w:t>
                  </w:r>
                </w:p>
              </w:tc>
              <w:tc>
                <w:tcPr>
                  <w:tcW w:w="549" w:type="pct"/>
                  <w:vAlign w:val="center"/>
                </w:tcPr>
                <w:p w14:paraId="6987ADDD">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607" w:type="pct"/>
                  <w:vAlign w:val="center"/>
                </w:tcPr>
                <w:p w14:paraId="6E9DB06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550" w:type="pct"/>
                  <w:vAlign w:val="center"/>
                </w:tcPr>
                <w:p w14:paraId="4097FB4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6047AFD7">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550" w:type="pct"/>
                  <w:vAlign w:val="center"/>
                </w:tcPr>
                <w:p w14:paraId="731A1FC2">
                  <w:pPr>
                    <w:keepNext w:val="0"/>
                    <w:keepLines w:val="0"/>
                    <w:widowControl/>
                    <w:suppressLineNumbers w:val="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 xml:space="preserve">0.0101 </w:t>
                  </w:r>
                </w:p>
              </w:tc>
            </w:tr>
          </w:tbl>
          <w:p w14:paraId="61651BB4">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根据“《排污许可证申请与核发技术规范废弃资源加工工业》（HJ1034-2019）中表 9”可知，清洗废水、初期雨水及生活污水有效污染防治设施工艺为隔油、沉淀等处理技术或其他，本项目生产废水为地面冲洗水，该标准可以适用。</w:t>
            </w:r>
          </w:p>
          <w:p w14:paraId="5ED92178">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项目生产废水处理工艺为“油水分离器”，油水分离器的主要作用是将废水进行油水分离。本项目产生的生产废水经处理达标后作为综合废水合并排放至</w:t>
            </w:r>
            <w:r>
              <w:rPr>
                <w:rFonts w:hint="eastAsia" w:ascii="Times New Roman" w:hAnsi="Times New Roman" w:eastAsia="宋体" w:cs="Times New Roman"/>
                <w:color w:val="auto"/>
                <w:sz w:val="24"/>
                <w:szCs w:val="24"/>
                <w:lang w:val="en-US" w:eastAsia="zh-CN"/>
              </w:rPr>
              <w:t>68团</w:t>
            </w:r>
            <w:r>
              <w:rPr>
                <w:rFonts w:hint="default" w:ascii="Times New Roman" w:hAnsi="Times New Roman" w:eastAsia="宋体" w:cs="Times New Roman"/>
                <w:color w:val="auto"/>
                <w:sz w:val="24"/>
                <w:szCs w:val="24"/>
              </w:rPr>
              <w:t>综合污水处理厂，排放口编号为DW001。</w:t>
            </w:r>
          </w:p>
          <w:p w14:paraId="69003BAE">
            <w:pPr>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综上所述，项目生产废水经预处理后外排的废水浓度满足</w:t>
            </w:r>
            <w:r>
              <w:rPr>
                <w:rFonts w:hint="eastAsia"/>
                <w:color w:val="auto"/>
                <w:sz w:val="24"/>
              </w:rPr>
              <w:t>《污水排入城镇下水道水质标准》</w:t>
            </w:r>
            <w:r>
              <w:rPr>
                <w:rFonts w:hint="eastAsia"/>
                <w:color w:val="auto"/>
                <w:sz w:val="24"/>
                <w:lang w:eastAsia="zh-CN"/>
              </w:rPr>
              <w:t>（</w:t>
            </w:r>
            <w:r>
              <w:rPr>
                <w:rFonts w:hint="eastAsia"/>
                <w:color w:val="auto"/>
                <w:sz w:val="24"/>
              </w:rPr>
              <w:t>GB/T31962-2015</w:t>
            </w:r>
            <w:r>
              <w:rPr>
                <w:rFonts w:hint="eastAsia"/>
                <w:color w:val="auto"/>
                <w:sz w:val="24"/>
                <w:lang w:eastAsia="zh-CN"/>
              </w:rPr>
              <w:t>）</w:t>
            </w:r>
            <w:r>
              <w:rPr>
                <w:rFonts w:hint="eastAsia"/>
                <w:color w:val="auto"/>
                <w:sz w:val="24"/>
              </w:rPr>
              <w:t>表1中的B级标准</w:t>
            </w:r>
            <w:r>
              <w:rPr>
                <w:rFonts w:hint="eastAsia"/>
                <w:color w:val="auto"/>
                <w:sz w:val="24"/>
                <w:lang w:eastAsia="zh-CN"/>
              </w:rPr>
              <w:t>，</w:t>
            </w:r>
            <w:r>
              <w:rPr>
                <w:rFonts w:hint="eastAsia"/>
                <w:color w:val="auto"/>
                <w:sz w:val="24"/>
                <w:lang w:val="en-US" w:eastAsia="zh-CN"/>
              </w:rPr>
              <w:t>达到</w:t>
            </w:r>
            <w:r>
              <w:rPr>
                <w:rFonts w:hint="eastAsia" w:ascii="Times New Roman" w:hAnsi="Times New Roman" w:eastAsia="宋体" w:cs="Times New Roman"/>
                <w:color w:val="auto"/>
                <w:sz w:val="24"/>
                <w:szCs w:val="24"/>
                <w:lang w:val="en-US" w:eastAsia="zh-CN"/>
              </w:rPr>
              <w:t>68团</w:t>
            </w:r>
            <w:r>
              <w:rPr>
                <w:rFonts w:hint="default" w:ascii="Times New Roman" w:hAnsi="Times New Roman" w:eastAsia="宋体" w:cs="Times New Roman"/>
                <w:color w:val="auto"/>
                <w:sz w:val="24"/>
                <w:szCs w:val="24"/>
              </w:rPr>
              <w:t>污水处理厂接管标准。</w:t>
            </w:r>
          </w:p>
          <w:p w14:paraId="1FB0F30E">
            <w:pPr>
              <w:pStyle w:val="36"/>
              <w:numPr>
                <w:ilvl w:val="0"/>
                <w:numId w:val="0"/>
              </w:numPr>
              <w:spacing w:line="360" w:lineRule="auto"/>
              <w:rPr>
                <w:rFonts w:hint="eastAsia" w:ascii="Times New Roman" w:hAnsi="Times New Roman" w:eastAsia="宋体" w:cs="Times New Roman"/>
                <w:b/>
                <w:bCs/>
                <w:color w:val="auto"/>
                <w:kern w:val="44"/>
                <w:sz w:val="24"/>
                <w:szCs w:val="24"/>
                <w:highlight w:val="none"/>
                <w:lang w:val="en-US" w:eastAsia="zh-CN" w:bidi="ar-SA"/>
              </w:rPr>
            </w:pPr>
            <w:r>
              <w:rPr>
                <w:rFonts w:hint="eastAsia" w:cs="Times New Roman"/>
                <w:b/>
                <w:bCs/>
                <w:color w:val="auto"/>
                <w:kern w:val="44"/>
                <w:sz w:val="24"/>
                <w:szCs w:val="24"/>
                <w:highlight w:val="none"/>
                <w:lang w:val="en-US" w:eastAsia="zh-CN"/>
              </w:rPr>
              <w:t>2</w:t>
            </w:r>
            <w:r>
              <w:rPr>
                <w:rFonts w:hint="eastAsia" w:ascii="Times New Roman" w:hAnsi="Times New Roman" w:eastAsia="宋体" w:cs="Times New Roman"/>
                <w:b/>
                <w:bCs/>
                <w:color w:val="auto"/>
                <w:kern w:val="44"/>
                <w:sz w:val="24"/>
                <w:szCs w:val="24"/>
                <w:highlight w:val="none"/>
                <w:lang w:val="en-US" w:eastAsia="zh-CN" w:bidi="ar-SA"/>
              </w:rPr>
              <w:t>、</w:t>
            </w:r>
            <w:r>
              <w:rPr>
                <w:rFonts w:hint="default" w:ascii="Times New Roman" w:hAnsi="Times New Roman" w:eastAsia="宋体" w:cs="Times New Roman"/>
                <w:b/>
                <w:bCs/>
                <w:color w:val="auto"/>
                <w:kern w:val="44"/>
                <w:sz w:val="24"/>
                <w:szCs w:val="24"/>
                <w:highlight w:val="none"/>
                <w:lang w:val="en-US" w:eastAsia="zh-CN" w:bidi="ar-SA"/>
              </w:rPr>
              <w:t>污水处理可行性分析</w:t>
            </w:r>
          </w:p>
          <w:p w14:paraId="2843F81E">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拆解车间地面冲洗废水水质与汽车修理养护行业汽车清洗废水水质相似，参照《排污许可证申请与核发技术规范废弃资源加工工业》(HJ1034—2019)中清洗废水的可行技术，地面冲洗废水工艺为“均质+隔油+絮凝+沉淀”，可满足《污水排入城镇下水道水质标准GB/T31962-2015》表1中的B级标准。</w:t>
            </w:r>
          </w:p>
          <w:p w14:paraId="05901A9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厂区工程建设</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lang w:val="en-US" w:eastAsia="zh-CN"/>
              </w:rPr>
              <w:t>设计时至少满足一次废水（</w:t>
            </w:r>
            <w:r>
              <w:rPr>
                <w:rFonts w:hint="eastAsia" w:cs="Times New Roman"/>
                <w:color w:val="auto"/>
                <w:sz w:val="24"/>
                <w:szCs w:val="24"/>
                <w:lang w:val="en-US" w:eastAsia="zh-CN"/>
              </w:rPr>
              <w:t>4.47</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储存及处理需求，采用“均质+隔油+絮凝+沉淀”工艺，处理后排入下水管网，污水处理措施可行。</w:t>
            </w:r>
          </w:p>
          <w:p w14:paraId="1D81C33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本项目废水经预处理后排入下水管网，最终进入</w:t>
            </w:r>
            <w:r>
              <w:rPr>
                <w:rFonts w:hint="default" w:ascii="Times New Roman" w:hAnsi="Times New Roman" w:cs="Times New Roman"/>
                <w:color w:val="auto"/>
                <w:sz w:val="24"/>
                <w:szCs w:val="24"/>
                <w:lang w:val="en-US" w:eastAsia="zh-CN"/>
              </w:rPr>
              <w:t>68团污水处理厂</w:t>
            </w:r>
            <w:r>
              <w:rPr>
                <w:rFonts w:hint="eastAsia" w:cs="Times New Roman"/>
                <w:color w:val="auto"/>
                <w:sz w:val="24"/>
                <w:szCs w:val="24"/>
                <w:lang w:val="en-US" w:eastAsia="zh-CN"/>
              </w:rPr>
              <w:t>处理，</w:t>
            </w:r>
            <w:r>
              <w:rPr>
                <w:rFonts w:hint="default" w:ascii="Times New Roman" w:hAnsi="Times New Roman" w:cs="Times New Roman"/>
                <w:color w:val="auto"/>
                <w:sz w:val="24"/>
                <w:szCs w:val="24"/>
                <w:lang w:val="en-US" w:eastAsia="zh-CN"/>
              </w:rPr>
              <w:t>68团污水处理厂位于团部西北方向1.4k</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lang w:val="en-US" w:eastAsia="zh-CN"/>
              </w:rPr>
              <w:t>处</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总投资1200万元，</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月，该工程取得《关于</w:t>
            </w:r>
            <w:r>
              <w:rPr>
                <w:rFonts w:hint="default" w:ascii="Times New Roman" w:hAnsi="Times New Roman" w:cs="Times New Roman"/>
                <w:color w:val="auto"/>
                <w:sz w:val="24"/>
                <w:szCs w:val="24"/>
                <w:lang w:val="en-US" w:eastAsia="zh-CN"/>
              </w:rPr>
              <w:t>可克达拉市市域范围团场污水处理厂改造项目</w:t>
            </w:r>
            <w:r>
              <w:rPr>
                <w:rFonts w:hint="default" w:ascii="Times New Roman" w:hAnsi="Times New Roman" w:cs="Times New Roman"/>
                <w:color w:val="auto"/>
                <w:sz w:val="24"/>
                <w:szCs w:val="24"/>
              </w:rPr>
              <w:t>的批复》（</w:t>
            </w:r>
            <w:r>
              <w:rPr>
                <w:rFonts w:hint="default" w:ascii="Times New Roman" w:hAnsi="Times New Roman" w:cs="Times New Roman"/>
                <w:color w:val="auto"/>
                <w:sz w:val="24"/>
                <w:szCs w:val="24"/>
                <w:lang w:val="en-US" w:eastAsia="zh-CN"/>
              </w:rPr>
              <w:t>师市环审</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污水处理厂现已建成投入运营，已于2024年5月完成</w:t>
            </w:r>
            <w:r>
              <w:rPr>
                <w:rFonts w:hint="default" w:ascii="Times New Roman" w:hAnsi="Times New Roman" w:cs="Times New Roman"/>
                <w:color w:val="auto"/>
                <w:sz w:val="24"/>
                <w:szCs w:val="24"/>
              </w:rPr>
              <w:t>竣工环境保护验收</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该污水处理厂处理能力为1000m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/d，该污水处理厂采用</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O+MBR深度处理工艺</w:t>
            </w:r>
            <w:r>
              <w:rPr>
                <w:rFonts w:hint="default" w:ascii="Times New Roman" w:hAnsi="Times New Roman" w:cs="Times New Roman"/>
                <w:color w:val="auto"/>
                <w:sz w:val="24"/>
                <w:szCs w:val="24"/>
                <w:lang w:val="en-US" w:eastAsia="zh-CN"/>
              </w:rPr>
              <w:t>，污水处理厂出水水质达到《城镇污水处理厂污染物排放标准》（GB18918-2002）中的一级A标准，污水处理厂</w:t>
            </w:r>
            <w:r>
              <w:rPr>
                <w:rFonts w:hint="default" w:ascii="Times New Roman" w:hAnsi="Times New Roman" w:cs="Times New Roman"/>
                <w:color w:val="auto"/>
                <w:sz w:val="24"/>
                <w:szCs w:val="24"/>
              </w:rPr>
              <w:t>现状废水处理规模为</w:t>
            </w:r>
            <w:r>
              <w:rPr>
                <w:rFonts w:hint="default" w:ascii="Times New Roman" w:hAnsi="Times New Roman" w:cs="Times New Roman"/>
                <w:color w:val="auto"/>
                <w:sz w:val="24"/>
                <w:szCs w:val="24"/>
                <w:lang w:val="en-US" w:eastAsia="zh-CN"/>
              </w:rPr>
              <w:t>550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/d，余量充足</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因此，本项目废水排放量、水质均满足</w:t>
            </w:r>
            <w:r>
              <w:rPr>
                <w:rFonts w:hint="default" w:ascii="Times New Roman" w:hAnsi="Times New Roman" w:cs="Times New Roman"/>
                <w:color w:val="auto"/>
                <w:sz w:val="24"/>
                <w:szCs w:val="24"/>
                <w:lang w:val="en-US" w:eastAsia="zh-CN"/>
              </w:rPr>
              <w:t>68团</w:t>
            </w:r>
            <w:r>
              <w:rPr>
                <w:rFonts w:hint="default" w:ascii="Times New Roman" w:hAnsi="Times New Roman" w:cs="Times New Roman"/>
                <w:color w:val="auto"/>
                <w:sz w:val="24"/>
                <w:szCs w:val="24"/>
              </w:rPr>
              <w:t>污水处理厂</w:t>
            </w:r>
            <w:r>
              <w:rPr>
                <w:rFonts w:hint="default" w:ascii="Times New Roman" w:hAnsi="Times New Roman" w:cs="Times New Roman"/>
                <w:color w:val="auto"/>
                <w:sz w:val="24"/>
                <w:szCs w:val="24"/>
                <w:lang w:val="en-US" w:eastAsia="zh-CN"/>
              </w:rPr>
              <w:t>进水</w:t>
            </w:r>
            <w:r>
              <w:rPr>
                <w:rFonts w:hint="default" w:ascii="Times New Roman" w:hAnsi="Times New Roman" w:cs="Times New Roman"/>
                <w:color w:val="auto"/>
                <w:sz w:val="24"/>
                <w:szCs w:val="24"/>
              </w:rPr>
              <w:t>要求，依托可行。</w:t>
            </w:r>
          </w:p>
          <w:p w14:paraId="1ED3D70B">
            <w:pPr>
              <w:pStyle w:val="36"/>
              <w:numPr>
                <w:ilvl w:val="0"/>
                <w:numId w:val="0"/>
              </w:numPr>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kern w:val="44"/>
                <w:sz w:val="24"/>
                <w:szCs w:val="24"/>
                <w:highlight w:val="none"/>
                <w:lang w:val="en-US" w:eastAsia="zh-CN" w:bidi="ar-SA"/>
              </w:rPr>
              <w:t>3、废水环境监测计划</w:t>
            </w:r>
          </w:p>
          <w:p w14:paraId="05881401">
            <w:pPr>
              <w:pageBreakBefore w:val="0"/>
              <w:widowControl w:val="0"/>
              <w:kinsoku/>
              <w:wordWrap/>
              <w:overflowPunct/>
              <w:topLinePunct w:val="0"/>
              <w:autoSpaceDE/>
              <w:autoSpaceDN/>
              <w:bidi w:val="0"/>
              <w:adjustRightInd/>
              <w:snapToGrid/>
              <w:spacing w:line="360" w:lineRule="auto"/>
              <w:ind w:firstLine="480"/>
              <w:textAlignment w:val="auto"/>
              <w:rPr>
                <w:rFonts w:ascii="宋体" w:hAnsi="宋体" w:eastAsia="宋体" w:cs="宋体"/>
                <w:sz w:val="24"/>
                <w:szCs w:val="24"/>
              </w:rPr>
            </w:pPr>
            <w:r>
              <w:rPr>
                <w:rFonts w:ascii="宋体" w:hAnsi="宋体" w:eastAsia="宋体" w:cs="宋体"/>
                <w:sz w:val="24"/>
                <w:szCs w:val="24"/>
              </w:rPr>
              <w:t>根据《排污单位自行监测技术指南 总则》（HJ819-2017），《排污许可证申请与核发技术规范 总则》（HJ942-2018）和《排污许可证申请与核发技术规范 废弃资源加工工业》（HJ1034-2019），本项目监测计划如下：</w:t>
            </w:r>
          </w:p>
          <w:p w14:paraId="4C5B6722">
            <w:pPr>
              <w:rPr>
                <w:rFonts w:hint="eastAsia" w:ascii="宋体" w:hAnsi="宋体" w:cs="宋体"/>
                <w:b/>
                <w:bCs/>
                <w:sz w:val="24"/>
                <w:szCs w:val="24"/>
                <w:lang w:val="en-US" w:eastAsia="zh-CN"/>
              </w:rPr>
            </w:pPr>
          </w:p>
          <w:p w14:paraId="39C5FB3D">
            <w:pPr>
              <w:rPr>
                <w:rFonts w:hint="default"/>
                <w:lang w:val="en-US" w:eastAsia="zh-CN"/>
              </w:rPr>
            </w:pPr>
            <w:r>
              <w:rPr>
                <w:rFonts w:hint="eastAsia" w:ascii="宋体" w:hAnsi="宋体" w:cs="宋体"/>
                <w:b/>
                <w:bCs/>
                <w:sz w:val="24"/>
                <w:szCs w:val="24"/>
                <w:lang w:val="en-US" w:eastAsia="zh-CN"/>
              </w:rPr>
              <w:t>表4-9                   废水环境监测计划及记录信息表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468"/>
              <w:gridCol w:w="1200"/>
              <w:gridCol w:w="2907"/>
              <w:gridCol w:w="1739"/>
            </w:tblGrid>
            <w:tr w14:paraId="2AF6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Align w:val="center"/>
                </w:tcPr>
                <w:p w14:paraId="4113174E">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排放口编号</w:t>
                  </w:r>
                </w:p>
              </w:tc>
              <w:tc>
                <w:tcPr>
                  <w:tcW w:w="844" w:type="pct"/>
                  <w:vAlign w:val="center"/>
                </w:tcPr>
                <w:p w14:paraId="15C221E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污染物名称</w:t>
                  </w:r>
                </w:p>
              </w:tc>
              <w:tc>
                <w:tcPr>
                  <w:tcW w:w="690" w:type="pct"/>
                  <w:vAlign w:val="center"/>
                </w:tcPr>
                <w:p w14:paraId="1A93973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监测设施</w:t>
                  </w:r>
                </w:p>
              </w:tc>
              <w:tc>
                <w:tcPr>
                  <w:tcW w:w="1671" w:type="pct"/>
                  <w:vAlign w:val="center"/>
                </w:tcPr>
                <w:p w14:paraId="56283CA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手工监测采样方法及个数</w:t>
                  </w:r>
                </w:p>
              </w:tc>
              <w:tc>
                <w:tcPr>
                  <w:tcW w:w="1000" w:type="pct"/>
                  <w:vAlign w:val="center"/>
                </w:tcPr>
                <w:p w14:paraId="5D5C392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手工监测频次</w:t>
                  </w:r>
                </w:p>
              </w:tc>
            </w:tr>
            <w:tr w14:paraId="343E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restart"/>
                  <w:vAlign w:val="center"/>
                </w:tcPr>
                <w:p w14:paraId="061C49B7">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DW001</w:t>
                  </w:r>
                </w:p>
              </w:tc>
              <w:tc>
                <w:tcPr>
                  <w:tcW w:w="844" w:type="pct"/>
                  <w:shd w:val="clear" w:color="auto" w:fill="auto"/>
                  <w:vAlign w:val="center"/>
                </w:tcPr>
                <w:p w14:paraId="2FF0331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COD</w:t>
                  </w:r>
                  <w:r>
                    <w:rPr>
                      <w:rFonts w:hint="eastAsia" w:cs="Times New Roman"/>
                      <w:i w:val="0"/>
                      <w:iCs w:val="0"/>
                      <w:color w:val="000000"/>
                      <w:kern w:val="0"/>
                      <w:sz w:val="21"/>
                      <w:szCs w:val="21"/>
                      <w:u w:val="none"/>
                      <w:vertAlign w:val="subscript"/>
                      <w:lang w:val="en-US" w:eastAsia="zh-CN" w:bidi="ar"/>
                    </w:rPr>
                    <w:t>cr</w:t>
                  </w:r>
                </w:p>
              </w:tc>
              <w:tc>
                <w:tcPr>
                  <w:tcW w:w="690" w:type="pct"/>
                  <w:vAlign w:val="center"/>
                </w:tcPr>
                <w:p w14:paraId="28FC2862">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39D6E5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02BFA9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43E5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12BD5A1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4E77F26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BOD</w:t>
                  </w:r>
                  <w:r>
                    <w:rPr>
                      <w:rFonts w:hint="eastAsia" w:cs="Times New Roman"/>
                      <w:i w:val="0"/>
                      <w:iCs w:val="0"/>
                      <w:color w:val="000000"/>
                      <w:kern w:val="0"/>
                      <w:sz w:val="21"/>
                      <w:szCs w:val="21"/>
                      <w:u w:val="none"/>
                      <w:vertAlign w:val="subscript"/>
                      <w:lang w:val="en-US" w:eastAsia="zh-CN" w:bidi="ar"/>
                    </w:rPr>
                    <w:t>5</w:t>
                  </w:r>
                </w:p>
              </w:tc>
              <w:tc>
                <w:tcPr>
                  <w:tcW w:w="690" w:type="pct"/>
                  <w:vAlign w:val="center"/>
                </w:tcPr>
                <w:p w14:paraId="1498005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419044E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613B3E2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0B51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32D877E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0533381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SS</w:t>
                  </w:r>
                </w:p>
              </w:tc>
              <w:tc>
                <w:tcPr>
                  <w:tcW w:w="690" w:type="pct"/>
                  <w:vAlign w:val="center"/>
                </w:tcPr>
                <w:p w14:paraId="34E8D20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6AA838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64F34BE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5E69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3EE0200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50D0A18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石油类</w:t>
                  </w:r>
                </w:p>
              </w:tc>
              <w:tc>
                <w:tcPr>
                  <w:tcW w:w="690" w:type="pct"/>
                  <w:vAlign w:val="center"/>
                </w:tcPr>
                <w:p w14:paraId="5A833F4D">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233D686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4FCBAF9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736C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5BF6D1B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6C4D3C1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氨氮</w:t>
                  </w:r>
                </w:p>
              </w:tc>
              <w:tc>
                <w:tcPr>
                  <w:tcW w:w="690" w:type="pct"/>
                  <w:vAlign w:val="center"/>
                </w:tcPr>
                <w:p w14:paraId="0FB58AD6">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180B0B1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2BCA5FB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3316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1F5616B1">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46E5F65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总磷</w:t>
                  </w:r>
                </w:p>
              </w:tc>
              <w:tc>
                <w:tcPr>
                  <w:tcW w:w="690" w:type="pct"/>
                  <w:vAlign w:val="center"/>
                </w:tcPr>
                <w:p w14:paraId="6CF17A88">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5D94F2D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12763F8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23B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3FC06D3E">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7C9E014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总氮</w:t>
                  </w:r>
                </w:p>
              </w:tc>
              <w:tc>
                <w:tcPr>
                  <w:tcW w:w="690" w:type="pct"/>
                  <w:vAlign w:val="center"/>
                </w:tcPr>
                <w:p w14:paraId="7F3B32B0">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0479B54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3FAC3D4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r w14:paraId="0DAF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2" w:type="pct"/>
                  <w:vMerge w:val="continue"/>
                  <w:vAlign w:val="center"/>
                </w:tcPr>
                <w:p w14:paraId="3022FF60">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p>
              </w:tc>
              <w:tc>
                <w:tcPr>
                  <w:tcW w:w="844" w:type="pct"/>
                  <w:shd w:val="clear" w:color="auto" w:fill="auto"/>
                  <w:vAlign w:val="center"/>
                </w:tcPr>
                <w:p w14:paraId="2C21DE1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LAS</w:t>
                  </w:r>
                </w:p>
              </w:tc>
              <w:tc>
                <w:tcPr>
                  <w:tcW w:w="690" w:type="pct"/>
                  <w:vAlign w:val="center"/>
                </w:tcPr>
                <w:p w14:paraId="24B7072A">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手工监测</w:t>
                  </w:r>
                </w:p>
              </w:tc>
              <w:tc>
                <w:tcPr>
                  <w:tcW w:w="1671" w:type="pct"/>
                  <w:vAlign w:val="center"/>
                </w:tcPr>
                <w:p w14:paraId="207F53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瞬时采样（至少3个瞬时样）</w:t>
                  </w:r>
                </w:p>
              </w:tc>
              <w:tc>
                <w:tcPr>
                  <w:tcW w:w="1000" w:type="pct"/>
                  <w:vAlign w:val="center"/>
                </w:tcPr>
                <w:p w14:paraId="25D94CA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年/次</w:t>
                  </w:r>
                </w:p>
              </w:tc>
            </w:tr>
          </w:tbl>
          <w:p w14:paraId="19AA4DA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ascii="Times New Roman" w:hAnsi="Times New Roman" w:cs="Times New Roman"/>
                <w:b/>
                <w:bCs/>
                <w:color w:val="auto"/>
                <w:kern w:val="44"/>
                <w:sz w:val="24"/>
                <w:szCs w:val="24"/>
                <w:highlight w:val="none"/>
                <w:lang w:val="en-US" w:eastAsia="zh-CN"/>
              </w:rPr>
            </w:pPr>
            <w:r>
              <w:rPr>
                <w:rFonts w:hint="eastAsia" w:ascii="Times New Roman" w:hAnsi="Times New Roman" w:cs="Times New Roman"/>
                <w:b/>
                <w:bCs/>
                <w:color w:val="auto"/>
                <w:kern w:val="44"/>
                <w:sz w:val="24"/>
                <w:szCs w:val="24"/>
                <w:highlight w:val="none"/>
                <w:lang w:val="en-US" w:eastAsia="zh-CN"/>
              </w:rPr>
              <w:t>三、噪声</w:t>
            </w:r>
          </w:p>
          <w:p w14:paraId="1A9E785B">
            <w:pPr>
              <w:pStyle w:val="36"/>
              <w:numPr>
                <w:ilvl w:val="0"/>
                <w:numId w:val="0"/>
              </w:numPr>
              <w:spacing w:line="360" w:lineRule="auto"/>
              <w:rPr>
                <w:rFonts w:hint="default" w:ascii="Times New Roman" w:hAnsi="Times New Roman" w:eastAsia="宋体" w:cs="Times New Roman"/>
                <w:b/>
                <w:bCs/>
                <w:color w:val="auto"/>
                <w:kern w:val="44"/>
                <w:sz w:val="24"/>
                <w:szCs w:val="24"/>
                <w:highlight w:val="none"/>
                <w:lang w:val="en-US" w:eastAsia="zh-CN" w:bidi="ar-SA"/>
              </w:rPr>
            </w:pPr>
            <w:r>
              <w:rPr>
                <w:rFonts w:hint="eastAsia" w:ascii="Times New Roman" w:hAnsi="Times New Roman" w:eastAsia="宋体" w:cs="Times New Roman"/>
                <w:b/>
                <w:bCs/>
                <w:color w:val="auto"/>
                <w:kern w:val="44"/>
                <w:sz w:val="24"/>
                <w:szCs w:val="24"/>
                <w:highlight w:val="none"/>
                <w:lang w:val="en-US" w:eastAsia="zh-CN" w:bidi="ar-SA"/>
              </w:rPr>
              <w:t>1、噪声</w:t>
            </w:r>
            <w:r>
              <w:rPr>
                <w:rFonts w:hint="eastAsia" w:ascii="Times New Roman" w:hAnsi="Times New Roman" w:cs="Times New Roman"/>
                <w:b/>
                <w:bCs/>
                <w:color w:val="auto"/>
                <w:kern w:val="44"/>
                <w:sz w:val="24"/>
                <w:szCs w:val="24"/>
                <w:highlight w:val="none"/>
                <w:lang w:val="en-US" w:eastAsia="zh-CN" w:bidi="ar-SA"/>
              </w:rPr>
              <w:t>影响分析</w:t>
            </w:r>
          </w:p>
          <w:p w14:paraId="2A2F8193">
            <w:pPr>
              <w:pStyle w:val="36"/>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项目主要噪声源为拆解、破碎车间的机械设备，产生于汽车拆解、钢铁破碎过程，主要的噪声设备如下表所示，项目产生的噪声源均为间断性声源，噪声级一搬在85-105</w:t>
            </w:r>
            <w:r>
              <w:rPr>
                <w:rFonts w:ascii="宋体" w:hAnsi="宋体" w:eastAsia="宋体" w:cs="宋体"/>
                <w:sz w:val="24"/>
                <w:szCs w:val="24"/>
              </w:rPr>
              <w:t>dB(A)</w:t>
            </w:r>
            <w:r>
              <w:rPr>
                <w:rFonts w:hint="eastAsia" w:ascii="宋体" w:hAnsi="宋体" w:cs="宋体"/>
                <w:sz w:val="24"/>
                <w:szCs w:val="24"/>
                <w:lang w:eastAsia="zh-CN"/>
              </w:rPr>
              <w:t>，</w:t>
            </w:r>
            <w:r>
              <w:rPr>
                <w:rFonts w:hint="eastAsia" w:cs="Times New Roman"/>
                <w:color w:val="auto"/>
                <w:sz w:val="24"/>
                <w:szCs w:val="24"/>
                <w:highlight w:val="none"/>
                <w:lang w:val="en-US" w:eastAsia="zh-CN"/>
              </w:rPr>
              <w:t>通过对产噪设备底座加减振垫、风机进出口管道上安装消声器，风机进出口处用柔性接头等措施，治理前后主要噪声源情况详见表4-10</w:t>
            </w:r>
            <w:r>
              <w:rPr>
                <w:rFonts w:hint="eastAsia" w:ascii="宋体" w:hAnsi="宋体" w:cs="宋体"/>
                <w:sz w:val="24"/>
                <w:szCs w:val="24"/>
                <w:lang w:eastAsia="zh-CN"/>
              </w:rPr>
              <w:t>。</w:t>
            </w:r>
          </w:p>
          <w:p w14:paraId="515F43F0">
            <w:pPr>
              <w:pStyle w:val="36"/>
              <w:numPr>
                <w:ilvl w:val="0"/>
                <w:numId w:val="0"/>
              </w:numPr>
              <w:spacing w:line="360" w:lineRule="auto"/>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 xml:space="preserve">表4-10          </w:t>
            </w:r>
            <w:r>
              <w:rPr>
                <w:rFonts w:hint="eastAsia" w:cs="Times New Roman"/>
                <w:b/>
                <w:bCs/>
                <w:color w:val="auto"/>
                <w:sz w:val="24"/>
                <w:highlight w:val="none"/>
                <w:lang w:val="en-US" w:eastAsia="zh-CN"/>
              </w:rPr>
              <w:t>工业企业噪声源强调查清单（室内声源）</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924"/>
              <w:gridCol w:w="851"/>
              <w:gridCol w:w="957"/>
              <w:gridCol w:w="851"/>
              <w:gridCol w:w="854"/>
              <w:gridCol w:w="957"/>
              <w:gridCol w:w="851"/>
              <w:gridCol w:w="957"/>
              <w:gridCol w:w="957"/>
            </w:tblGrid>
            <w:tr w14:paraId="7E38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06" w:type="pct"/>
                  <w:vMerge w:val="restart"/>
                  <w:vAlign w:val="center"/>
                </w:tcPr>
                <w:p w14:paraId="4A1B9078">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序号</w:t>
                  </w:r>
                </w:p>
              </w:tc>
              <w:tc>
                <w:tcPr>
                  <w:tcW w:w="531" w:type="pct"/>
                  <w:vMerge w:val="restart"/>
                  <w:vAlign w:val="center"/>
                </w:tcPr>
                <w:p w14:paraId="52652452">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声源名称</w:t>
                  </w:r>
                </w:p>
              </w:tc>
              <w:tc>
                <w:tcPr>
                  <w:tcW w:w="489" w:type="pct"/>
                  <w:vMerge w:val="restart"/>
                  <w:vAlign w:val="center"/>
                </w:tcPr>
                <w:p w14:paraId="5AE66FC0">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型号</w:t>
                  </w:r>
                </w:p>
              </w:tc>
              <w:tc>
                <w:tcPr>
                  <w:tcW w:w="550" w:type="pct"/>
                  <w:vMerge w:val="restart"/>
                  <w:vAlign w:val="center"/>
                </w:tcPr>
                <w:p w14:paraId="218A7A9A">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声功率级/dB（A）</w:t>
                  </w:r>
                </w:p>
              </w:tc>
              <w:tc>
                <w:tcPr>
                  <w:tcW w:w="489" w:type="pct"/>
                  <w:vMerge w:val="restart"/>
                  <w:vAlign w:val="center"/>
                </w:tcPr>
                <w:p w14:paraId="43358E09">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声源控制措施</w:t>
                  </w:r>
                </w:p>
              </w:tc>
              <w:tc>
                <w:tcPr>
                  <w:tcW w:w="491" w:type="pct"/>
                  <w:vMerge w:val="restart"/>
                  <w:vAlign w:val="center"/>
                </w:tcPr>
                <w:p w14:paraId="1C8A6E01">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室内边界距离/m</w:t>
                  </w:r>
                </w:p>
              </w:tc>
              <w:tc>
                <w:tcPr>
                  <w:tcW w:w="550" w:type="pct"/>
                  <w:vMerge w:val="restart"/>
                  <w:vAlign w:val="center"/>
                </w:tcPr>
                <w:p w14:paraId="366B7079">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室内边界声级/dB（A）</w:t>
                  </w:r>
                </w:p>
              </w:tc>
              <w:tc>
                <w:tcPr>
                  <w:tcW w:w="489" w:type="pct"/>
                  <w:vMerge w:val="restart"/>
                  <w:vAlign w:val="center"/>
                </w:tcPr>
                <w:p w14:paraId="0B6B6E20">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运行时段</w:t>
                  </w:r>
                </w:p>
              </w:tc>
              <w:tc>
                <w:tcPr>
                  <w:tcW w:w="550" w:type="pct"/>
                  <w:vMerge w:val="restart"/>
                  <w:vAlign w:val="center"/>
                </w:tcPr>
                <w:p w14:paraId="6042D5DC">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建筑物插入损失/dB（A）</w:t>
                  </w:r>
                </w:p>
              </w:tc>
              <w:tc>
                <w:tcPr>
                  <w:tcW w:w="550" w:type="pct"/>
                  <w:vAlign w:val="center"/>
                </w:tcPr>
                <w:p w14:paraId="6A38F5CA">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建筑物外噪声</w:t>
                  </w:r>
                </w:p>
              </w:tc>
            </w:tr>
            <w:tr w14:paraId="0B74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306" w:type="pct"/>
                  <w:vMerge w:val="continue"/>
                  <w:vAlign w:val="center"/>
                </w:tcPr>
                <w:p w14:paraId="25635E24">
                  <w:pPr>
                    <w:widowControl w:val="0"/>
                    <w:autoSpaceDE w:val="0"/>
                    <w:autoSpaceDN w:val="0"/>
                    <w:spacing w:before="0" w:after="0" w:line="240" w:lineRule="auto"/>
                    <w:ind w:left="0" w:leftChars="0" w:right="0" w:rightChars="0" w:firstLine="0" w:firstLineChars="0"/>
                    <w:jc w:val="center"/>
                  </w:pPr>
                </w:p>
              </w:tc>
              <w:tc>
                <w:tcPr>
                  <w:tcW w:w="531" w:type="pct"/>
                  <w:vMerge w:val="continue"/>
                  <w:vAlign w:val="center"/>
                </w:tcPr>
                <w:p w14:paraId="3FA1BC85">
                  <w:pPr>
                    <w:widowControl w:val="0"/>
                    <w:autoSpaceDE w:val="0"/>
                    <w:autoSpaceDN w:val="0"/>
                    <w:spacing w:before="0" w:after="0" w:line="240" w:lineRule="auto"/>
                    <w:ind w:left="0" w:leftChars="0" w:right="0" w:rightChars="0" w:firstLine="0" w:firstLineChars="0"/>
                    <w:jc w:val="center"/>
                  </w:pPr>
                </w:p>
              </w:tc>
              <w:tc>
                <w:tcPr>
                  <w:tcW w:w="489" w:type="pct"/>
                  <w:vMerge w:val="continue"/>
                  <w:vAlign w:val="center"/>
                </w:tcPr>
                <w:p w14:paraId="30CA9D41">
                  <w:pPr>
                    <w:widowControl w:val="0"/>
                    <w:autoSpaceDE w:val="0"/>
                    <w:autoSpaceDN w:val="0"/>
                    <w:spacing w:before="0" w:after="0" w:line="240" w:lineRule="auto"/>
                    <w:ind w:left="0" w:leftChars="0" w:right="0" w:rightChars="0" w:firstLine="0" w:firstLineChars="0"/>
                    <w:jc w:val="center"/>
                  </w:pPr>
                </w:p>
              </w:tc>
              <w:tc>
                <w:tcPr>
                  <w:tcW w:w="550" w:type="pct"/>
                  <w:vMerge w:val="continue"/>
                  <w:vAlign w:val="center"/>
                </w:tcPr>
                <w:p w14:paraId="6A89D861">
                  <w:pPr>
                    <w:widowControl w:val="0"/>
                    <w:autoSpaceDE w:val="0"/>
                    <w:autoSpaceDN w:val="0"/>
                    <w:spacing w:before="0" w:after="0" w:line="240" w:lineRule="auto"/>
                    <w:ind w:left="0" w:leftChars="0" w:right="0" w:rightChars="0" w:firstLine="0" w:firstLineChars="0"/>
                    <w:jc w:val="center"/>
                  </w:pPr>
                </w:p>
              </w:tc>
              <w:tc>
                <w:tcPr>
                  <w:tcW w:w="489" w:type="pct"/>
                  <w:vMerge w:val="continue"/>
                  <w:vAlign w:val="center"/>
                </w:tcPr>
                <w:p w14:paraId="3B0669A8">
                  <w:pPr>
                    <w:widowControl w:val="0"/>
                    <w:autoSpaceDE w:val="0"/>
                    <w:autoSpaceDN w:val="0"/>
                    <w:spacing w:before="0" w:after="0" w:line="240" w:lineRule="auto"/>
                    <w:ind w:left="0" w:leftChars="0" w:right="0" w:rightChars="0" w:firstLine="0" w:firstLineChars="0"/>
                    <w:jc w:val="center"/>
                  </w:pPr>
                </w:p>
              </w:tc>
              <w:tc>
                <w:tcPr>
                  <w:tcW w:w="491" w:type="pct"/>
                  <w:vMerge w:val="continue"/>
                  <w:vAlign w:val="center"/>
                </w:tcPr>
                <w:p w14:paraId="13305C50">
                  <w:pPr>
                    <w:widowControl w:val="0"/>
                    <w:autoSpaceDE w:val="0"/>
                    <w:autoSpaceDN w:val="0"/>
                    <w:spacing w:before="0" w:after="0" w:line="240" w:lineRule="auto"/>
                    <w:ind w:left="0" w:leftChars="0" w:right="0" w:rightChars="0" w:firstLine="0" w:firstLineChars="0"/>
                    <w:jc w:val="center"/>
                  </w:pPr>
                </w:p>
              </w:tc>
              <w:tc>
                <w:tcPr>
                  <w:tcW w:w="550" w:type="pct"/>
                  <w:vMerge w:val="continue"/>
                  <w:vAlign w:val="center"/>
                </w:tcPr>
                <w:p w14:paraId="001759DD">
                  <w:pPr>
                    <w:widowControl w:val="0"/>
                    <w:autoSpaceDE w:val="0"/>
                    <w:autoSpaceDN w:val="0"/>
                    <w:spacing w:before="0" w:after="0" w:line="240" w:lineRule="auto"/>
                    <w:ind w:left="0" w:leftChars="0" w:right="0" w:rightChars="0" w:firstLine="0" w:firstLineChars="0"/>
                    <w:jc w:val="center"/>
                  </w:pPr>
                </w:p>
              </w:tc>
              <w:tc>
                <w:tcPr>
                  <w:tcW w:w="489" w:type="pct"/>
                  <w:vMerge w:val="continue"/>
                  <w:vAlign w:val="center"/>
                </w:tcPr>
                <w:p w14:paraId="29F89304">
                  <w:pPr>
                    <w:widowControl w:val="0"/>
                    <w:autoSpaceDE w:val="0"/>
                    <w:autoSpaceDN w:val="0"/>
                    <w:spacing w:before="0" w:after="0" w:line="240" w:lineRule="auto"/>
                    <w:ind w:left="0" w:leftChars="0" w:right="0" w:rightChars="0" w:firstLine="0" w:firstLineChars="0"/>
                    <w:jc w:val="center"/>
                  </w:pPr>
                </w:p>
              </w:tc>
              <w:tc>
                <w:tcPr>
                  <w:tcW w:w="550" w:type="pct"/>
                  <w:vMerge w:val="continue"/>
                  <w:vAlign w:val="center"/>
                </w:tcPr>
                <w:p w14:paraId="26712F28">
                  <w:pPr>
                    <w:widowControl w:val="0"/>
                    <w:autoSpaceDE w:val="0"/>
                    <w:autoSpaceDN w:val="0"/>
                    <w:spacing w:before="0" w:after="0" w:line="240" w:lineRule="auto"/>
                    <w:ind w:left="0" w:leftChars="0" w:right="0" w:rightChars="0" w:firstLine="0" w:firstLineChars="0"/>
                    <w:jc w:val="center"/>
                  </w:pPr>
                </w:p>
              </w:tc>
              <w:tc>
                <w:tcPr>
                  <w:tcW w:w="550" w:type="pct"/>
                  <w:vAlign w:val="center"/>
                </w:tcPr>
                <w:p w14:paraId="7C6EF479">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声压级/dB（A）</w:t>
                  </w:r>
                </w:p>
              </w:tc>
            </w:tr>
            <w:tr w14:paraId="181F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377AB89F">
                  <w:pPr>
                    <w:widowControl w:val="0"/>
                    <w:autoSpaceDE w:val="0"/>
                    <w:autoSpaceDN w:val="0"/>
                    <w:spacing w:before="0" w:after="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1</w:t>
                  </w:r>
                </w:p>
              </w:tc>
              <w:tc>
                <w:tcPr>
                  <w:tcW w:w="531" w:type="pct"/>
                  <w:vAlign w:val="center"/>
                </w:tcPr>
                <w:p w14:paraId="241CE8CA">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巨型剪</w:t>
                  </w:r>
                </w:p>
              </w:tc>
              <w:tc>
                <w:tcPr>
                  <w:tcW w:w="489" w:type="pct"/>
                  <w:vAlign w:val="center"/>
                </w:tcPr>
                <w:p w14:paraId="0D82D4BF">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5B4C55A4">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90</w:t>
                  </w:r>
                </w:p>
              </w:tc>
              <w:tc>
                <w:tcPr>
                  <w:tcW w:w="489" w:type="pct"/>
                  <w:vMerge w:val="restart"/>
                  <w:vAlign w:val="center"/>
                </w:tcPr>
                <w:p w14:paraId="6C2BBFD1">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加减振垫垫</w:t>
                  </w:r>
                </w:p>
              </w:tc>
              <w:tc>
                <w:tcPr>
                  <w:tcW w:w="491" w:type="pct"/>
                  <w:vAlign w:val="center"/>
                </w:tcPr>
                <w:p w14:paraId="1A71C80C">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52EC3A33">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85</w:t>
                  </w:r>
                </w:p>
              </w:tc>
              <w:tc>
                <w:tcPr>
                  <w:tcW w:w="489" w:type="pct"/>
                  <w:vAlign w:val="center"/>
                </w:tcPr>
                <w:p w14:paraId="1DE84E79">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8h</w:t>
                  </w:r>
                </w:p>
              </w:tc>
              <w:tc>
                <w:tcPr>
                  <w:tcW w:w="550" w:type="pct"/>
                  <w:vMerge w:val="restart"/>
                  <w:vAlign w:val="center"/>
                </w:tcPr>
                <w:p w14:paraId="30BD694C">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15</w:t>
                  </w:r>
                </w:p>
              </w:tc>
              <w:tc>
                <w:tcPr>
                  <w:tcW w:w="550" w:type="pct"/>
                  <w:vAlign w:val="center"/>
                </w:tcPr>
                <w:p w14:paraId="6ACD8D42">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70</w:t>
                  </w:r>
                </w:p>
              </w:tc>
            </w:tr>
            <w:tr w14:paraId="232E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0DFF7BE5">
                  <w:pPr>
                    <w:widowControl w:val="0"/>
                    <w:autoSpaceDE w:val="0"/>
                    <w:autoSpaceDN w:val="0"/>
                    <w:spacing w:before="0" w:after="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2</w:t>
                  </w:r>
                </w:p>
              </w:tc>
              <w:tc>
                <w:tcPr>
                  <w:tcW w:w="531" w:type="pct"/>
                  <w:vAlign w:val="center"/>
                </w:tcPr>
                <w:p w14:paraId="5E9E7697">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抓钢机</w:t>
                  </w:r>
                </w:p>
              </w:tc>
              <w:tc>
                <w:tcPr>
                  <w:tcW w:w="489" w:type="pct"/>
                  <w:vAlign w:val="center"/>
                </w:tcPr>
                <w:p w14:paraId="42AD8C5F">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472AAFD7">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85</w:t>
                  </w:r>
                </w:p>
              </w:tc>
              <w:tc>
                <w:tcPr>
                  <w:tcW w:w="489" w:type="pct"/>
                  <w:vMerge w:val="continue"/>
                  <w:vAlign w:val="center"/>
                </w:tcPr>
                <w:p w14:paraId="1D7AAACB">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07294F13">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42C02EF4">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80</w:t>
                  </w:r>
                </w:p>
              </w:tc>
              <w:tc>
                <w:tcPr>
                  <w:tcW w:w="489" w:type="pct"/>
                  <w:vAlign w:val="center"/>
                </w:tcPr>
                <w:p w14:paraId="0770390F">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02A47A3F">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14CED28B">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65</w:t>
                  </w:r>
                </w:p>
              </w:tc>
            </w:tr>
            <w:tr w14:paraId="1ED7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05714C44">
                  <w:pPr>
                    <w:widowControl w:val="0"/>
                    <w:autoSpaceDE w:val="0"/>
                    <w:autoSpaceDN w:val="0"/>
                    <w:spacing w:before="0" w:after="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3</w:t>
                  </w:r>
                </w:p>
              </w:tc>
              <w:tc>
                <w:tcPr>
                  <w:tcW w:w="531" w:type="pct"/>
                  <w:vAlign w:val="center"/>
                </w:tcPr>
                <w:p w14:paraId="10D307C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龙门剪</w:t>
                  </w:r>
                </w:p>
              </w:tc>
              <w:tc>
                <w:tcPr>
                  <w:tcW w:w="489" w:type="pct"/>
                  <w:vAlign w:val="center"/>
                </w:tcPr>
                <w:p w14:paraId="7605DE0D">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23A85C3D">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95</w:t>
                  </w:r>
                </w:p>
              </w:tc>
              <w:tc>
                <w:tcPr>
                  <w:tcW w:w="489" w:type="pct"/>
                  <w:vMerge w:val="continue"/>
                  <w:vAlign w:val="center"/>
                </w:tcPr>
                <w:p w14:paraId="6308CDAD">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387AC2F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247BFD6B">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90</w:t>
                  </w:r>
                </w:p>
              </w:tc>
              <w:tc>
                <w:tcPr>
                  <w:tcW w:w="489" w:type="pct"/>
                  <w:vAlign w:val="center"/>
                </w:tcPr>
                <w:p w14:paraId="46C7CB75">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159A0499">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3F385C04">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75</w:t>
                  </w:r>
                </w:p>
              </w:tc>
            </w:tr>
            <w:tr w14:paraId="4A19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2FD23572">
                  <w:pPr>
                    <w:widowControl w:val="0"/>
                    <w:autoSpaceDE w:val="0"/>
                    <w:autoSpaceDN w:val="0"/>
                    <w:spacing w:before="0" w:after="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s="Times New Roman"/>
                      <w:color w:val="auto"/>
                      <w:highlight w:val="none"/>
                      <w:lang w:val="en-US" w:eastAsia="zh-CN"/>
                    </w:rPr>
                    <w:t>4</w:t>
                  </w:r>
                </w:p>
              </w:tc>
              <w:tc>
                <w:tcPr>
                  <w:tcW w:w="531" w:type="pct"/>
                  <w:vAlign w:val="center"/>
                </w:tcPr>
                <w:p w14:paraId="62D1867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拆解机</w:t>
                  </w:r>
                </w:p>
              </w:tc>
              <w:tc>
                <w:tcPr>
                  <w:tcW w:w="489" w:type="pct"/>
                  <w:vAlign w:val="center"/>
                </w:tcPr>
                <w:p w14:paraId="3578DED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6AC880BA">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85</w:t>
                  </w:r>
                </w:p>
              </w:tc>
              <w:tc>
                <w:tcPr>
                  <w:tcW w:w="489" w:type="pct"/>
                  <w:vMerge w:val="continue"/>
                  <w:vAlign w:val="center"/>
                </w:tcPr>
                <w:p w14:paraId="6E296757">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439AF9E6">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51B17D3E">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80</w:t>
                  </w:r>
                </w:p>
              </w:tc>
              <w:tc>
                <w:tcPr>
                  <w:tcW w:w="489" w:type="pct"/>
                  <w:vAlign w:val="center"/>
                </w:tcPr>
                <w:p w14:paraId="31F54EF8">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575E4A3F">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0A1A6DE9">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65</w:t>
                  </w:r>
                </w:p>
              </w:tc>
            </w:tr>
            <w:tr w14:paraId="2302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2127ABDC">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31" w:type="pct"/>
                  <w:vAlign w:val="center"/>
                </w:tcPr>
                <w:p w14:paraId="1A076B4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装载机</w:t>
                  </w:r>
                </w:p>
              </w:tc>
              <w:tc>
                <w:tcPr>
                  <w:tcW w:w="489" w:type="pct"/>
                  <w:vAlign w:val="center"/>
                </w:tcPr>
                <w:p w14:paraId="1E7D82E7">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34ABE766">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95</w:t>
                  </w:r>
                </w:p>
              </w:tc>
              <w:tc>
                <w:tcPr>
                  <w:tcW w:w="489" w:type="pct"/>
                  <w:vMerge w:val="continue"/>
                  <w:vAlign w:val="center"/>
                </w:tcPr>
                <w:p w14:paraId="1DBDD711">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65771433">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03F6219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90</w:t>
                  </w:r>
                </w:p>
              </w:tc>
              <w:tc>
                <w:tcPr>
                  <w:tcW w:w="489" w:type="pct"/>
                  <w:vAlign w:val="center"/>
                </w:tcPr>
                <w:p w14:paraId="01ED55B0">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2C6A8FB0">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57DCE71D">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75</w:t>
                  </w:r>
                </w:p>
              </w:tc>
            </w:tr>
            <w:tr w14:paraId="78F4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465A5192">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6</w:t>
                  </w:r>
                </w:p>
              </w:tc>
              <w:tc>
                <w:tcPr>
                  <w:tcW w:w="531" w:type="pct"/>
                  <w:vAlign w:val="center"/>
                </w:tcPr>
                <w:p w14:paraId="2A8EFFA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破碎机</w:t>
                  </w:r>
                </w:p>
              </w:tc>
              <w:tc>
                <w:tcPr>
                  <w:tcW w:w="489" w:type="pct"/>
                  <w:vAlign w:val="center"/>
                </w:tcPr>
                <w:p w14:paraId="5B28508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1B0FABBD">
                  <w:pPr>
                    <w:keepNext w:val="0"/>
                    <w:keepLines w:val="0"/>
                    <w:widowControl/>
                    <w:suppressLineNumbers w:val="0"/>
                    <w:jc w:val="center"/>
                    <w:textAlignment w:val="center"/>
                    <w:rPr>
                      <w:rFonts w:hint="default"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105</w:t>
                  </w:r>
                </w:p>
              </w:tc>
              <w:tc>
                <w:tcPr>
                  <w:tcW w:w="489" w:type="pct"/>
                  <w:vMerge w:val="continue"/>
                  <w:vAlign w:val="center"/>
                </w:tcPr>
                <w:p w14:paraId="757C79AE">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28E06237">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369CE592">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100</w:t>
                  </w:r>
                </w:p>
              </w:tc>
              <w:tc>
                <w:tcPr>
                  <w:tcW w:w="489" w:type="pct"/>
                  <w:vAlign w:val="center"/>
                </w:tcPr>
                <w:p w14:paraId="0A19CFC7">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475F55D3">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65315C4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85</w:t>
                  </w:r>
                </w:p>
              </w:tc>
            </w:tr>
            <w:tr w14:paraId="4117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vAlign w:val="center"/>
                </w:tcPr>
                <w:p w14:paraId="68A02F24">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7</w:t>
                  </w:r>
                </w:p>
              </w:tc>
              <w:tc>
                <w:tcPr>
                  <w:tcW w:w="531" w:type="pct"/>
                  <w:vAlign w:val="center"/>
                </w:tcPr>
                <w:p w14:paraId="2EC1BD0A">
                  <w:pPr>
                    <w:keepNext w:val="0"/>
                    <w:keepLines w:val="0"/>
                    <w:widowControl/>
                    <w:suppressLineNumbers w:val="0"/>
                    <w:jc w:val="center"/>
                    <w:textAlignment w:val="center"/>
                    <w:rPr>
                      <w:rFonts w:hint="eastAsia"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除尘风机</w:t>
                  </w:r>
                </w:p>
              </w:tc>
              <w:tc>
                <w:tcPr>
                  <w:tcW w:w="489" w:type="pct"/>
                  <w:vAlign w:val="center"/>
                </w:tcPr>
                <w:p w14:paraId="7F24B765">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550" w:type="pct"/>
                  <w:vAlign w:val="center"/>
                </w:tcPr>
                <w:p w14:paraId="58FDBEB3">
                  <w:pPr>
                    <w:keepNext w:val="0"/>
                    <w:keepLines w:val="0"/>
                    <w:widowControl/>
                    <w:suppressLineNumbers w:val="0"/>
                    <w:jc w:val="center"/>
                    <w:textAlignment w:val="center"/>
                    <w:rPr>
                      <w:rFonts w:hint="eastAsia" w:cs="Times New Roman"/>
                      <w:color w:val="auto"/>
                      <w:highlight w:val="none"/>
                      <w:lang w:val="en-US" w:eastAsia="zh-CN"/>
                    </w:rPr>
                  </w:pPr>
                  <w:r>
                    <w:rPr>
                      <w:rFonts w:hint="eastAsia" w:ascii="Times New Roman" w:hAnsi="Times New Roman" w:cs="Times New Roman"/>
                      <w:i w:val="0"/>
                      <w:iCs w:val="0"/>
                      <w:color w:val="000000"/>
                      <w:kern w:val="0"/>
                      <w:sz w:val="21"/>
                      <w:szCs w:val="21"/>
                      <w:u w:val="none"/>
                      <w:lang w:val="en-US" w:eastAsia="zh-CN" w:bidi="ar"/>
                    </w:rPr>
                    <w:t>90</w:t>
                  </w:r>
                </w:p>
              </w:tc>
              <w:tc>
                <w:tcPr>
                  <w:tcW w:w="489" w:type="pct"/>
                  <w:vMerge w:val="continue"/>
                  <w:vAlign w:val="center"/>
                </w:tcPr>
                <w:p w14:paraId="06EDAA56">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491" w:type="pct"/>
                  <w:vAlign w:val="center"/>
                </w:tcPr>
                <w:p w14:paraId="69380BF6">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5</w:t>
                  </w:r>
                </w:p>
              </w:tc>
              <w:tc>
                <w:tcPr>
                  <w:tcW w:w="550" w:type="pct"/>
                  <w:vAlign w:val="center"/>
                </w:tcPr>
                <w:p w14:paraId="1986AE88">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85</w:t>
                  </w:r>
                </w:p>
              </w:tc>
              <w:tc>
                <w:tcPr>
                  <w:tcW w:w="489" w:type="pct"/>
                  <w:vAlign w:val="center"/>
                </w:tcPr>
                <w:p w14:paraId="113B5658">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8h</w:t>
                  </w:r>
                </w:p>
              </w:tc>
              <w:tc>
                <w:tcPr>
                  <w:tcW w:w="550" w:type="pct"/>
                  <w:vMerge w:val="continue"/>
                  <w:vAlign w:val="center"/>
                </w:tcPr>
                <w:p w14:paraId="7AA833AD">
                  <w:pPr>
                    <w:widowControl w:val="0"/>
                    <w:autoSpaceDE w:val="0"/>
                    <w:autoSpaceDN w:val="0"/>
                    <w:spacing w:before="0" w:after="0" w:line="240" w:lineRule="auto"/>
                    <w:ind w:left="0" w:leftChars="0" w:right="0" w:rightChars="0" w:firstLine="0" w:firstLineChars="0"/>
                    <w:jc w:val="center"/>
                    <w:rPr>
                      <w:rFonts w:hint="eastAsia" w:cs="Times New Roman"/>
                      <w:color w:val="auto"/>
                      <w:highlight w:val="none"/>
                      <w:lang w:val="en-US" w:eastAsia="zh-CN"/>
                    </w:rPr>
                  </w:pPr>
                </w:p>
              </w:tc>
              <w:tc>
                <w:tcPr>
                  <w:tcW w:w="550" w:type="pct"/>
                  <w:vAlign w:val="center"/>
                </w:tcPr>
                <w:p w14:paraId="657DA5A3">
                  <w:pPr>
                    <w:widowControl w:val="0"/>
                    <w:autoSpaceDE w:val="0"/>
                    <w:autoSpaceDN w:val="0"/>
                    <w:spacing w:before="0" w:after="0" w:line="240" w:lineRule="auto"/>
                    <w:ind w:left="0" w:leftChars="0" w:right="0" w:rightChars="0" w:firstLine="0" w:firstLineChars="0"/>
                    <w:jc w:val="center"/>
                    <w:rPr>
                      <w:rFonts w:hint="default" w:cs="Times New Roman"/>
                      <w:color w:val="auto"/>
                      <w:highlight w:val="none"/>
                      <w:lang w:val="en-US" w:eastAsia="zh-CN"/>
                    </w:rPr>
                  </w:pPr>
                  <w:r>
                    <w:rPr>
                      <w:rFonts w:hint="eastAsia" w:cs="Times New Roman"/>
                      <w:color w:val="auto"/>
                      <w:highlight w:val="none"/>
                      <w:lang w:val="en-US" w:eastAsia="zh-CN"/>
                    </w:rPr>
                    <w:t>70</w:t>
                  </w:r>
                </w:p>
              </w:tc>
            </w:tr>
          </w:tbl>
          <w:p w14:paraId="0F5A3FD3">
            <w:pPr>
              <w:adjustRightInd w:val="0"/>
              <w:snapToGrid w:val="0"/>
              <w:spacing w:before="120" w:beforeLines="50" w:line="360" w:lineRule="auto"/>
              <w:ind w:firstLine="480" w:firstLineChars="200"/>
              <w:rPr>
                <w:rFonts w:hint="eastAsia"/>
                <w:color w:val="auto"/>
                <w:sz w:val="24"/>
              </w:rPr>
            </w:pPr>
            <w:r>
              <w:rPr>
                <w:rFonts w:hint="eastAsia"/>
                <w:color w:val="auto"/>
                <w:sz w:val="24"/>
              </w:rPr>
              <w:t>预测过程中，根据实际情况，噪声源按室内声源对待，在预测室内噪声源对室外影响时,建筑物的隔声量按照北方一般建筑材料对待</w:t>
            </w:r>
            <w:r>
              <w:rPr>
                <w:rFonts w:hint="eastAsia"/>
                <w:color w:val="auto"/>
                <w:sz w:val="24"/>
                <w:lang w:eastAsia="zh-CN"/>
              </w:rPr>
              <w:t>，</w:t>
            </w:r>
            <w:r>
              <w:rPr>
                <w:rFonts w:hint="eastAsia"/>
                <w:color w:val="auto"/>
                <w:sz w:val="24"/>
              </w:rPr>
              <w:t>在本次预测中，建筑物隔声取值</w:t>
            </w:r>
            <w:r>
              <w:rPr>
                <w:rFonts w:hint="eastAsia"/>
                <w:color w:val="auto"/>
                <w:sz w:val="24"/>
                <w:lang w:val="en-US" w:eastAsia="zh-CN"/>
              </w:rPr>
              <w:t>15</w:t>
            </w:r>
            <w:r>
              <w:rPr>
                <w:rFonts w:hint="eastAsia"/>
                <w:color w:val="auto"/>
                <w:sz w:val="24"/>
              </w:rPr>
              <w:t>dB（A）</w:t>
            </w:r>
            <w:r>
              <w:rPr>
                <w:rFonts w:hint="eastAsia"/>
                <w:color w:val="auto"/>
                <w:sz w:val="24"/>
                <w:lang w:eastAsia="zh-CN"/>
              </w:rPr>
              <w:t>；</w:t>
            </w:r>
            <w:r>
              <w:rPr>
                <w:rFonts w:hint="eastAsia"/>
                <w:color w:val="auto"/>
                <w:sz w:val="24"/>
              </w:rPr>
              <w:t>设备消声减振措施取值5dB (A）。</w:t>
            </w:r>
          </w:p>
          <w:p w14:paraId="0D0E3824">
            <w:pPr>
              <w:adjustRightInd w:val="0"/>
              <w:snapToGrid w:val="0"/>
              <w:spacing w:before="120" w:beforeLines="50" w:line="360" w:lineRule="auto"/>
              <w:ind w:firstLine="480" w:firstLineChars="200"/>
              <w:rPr>
                <w:color w:val="auto"/>
                <w:sz w:val="24"/>
              </w:rPr>
            </w:pPr>
            <w:r>
              <w:rPr>
                <w:color w:val="auto"/>
                <w:sz w:val="24"/>
              </w:rPr>
              <w:t>多个噪声源叠加的综合噪声计算公式如下：</w:t>
            </w:r>
          </w:p>
          <w:p w14:paraId="30005A94">
            <w:pPr>
              <w:spacing w:line="360" w:lineRule="auto"/>
              <w:ind w:firstLine="420"/>
              <w:jc w:val="center"/>
              <w:rPr>
                <w:color w:val="auto"/>
              </w:rPr>
            </w:pPr>
            <w:r>
              <w:rPr>
                <w:color w:val="auto"/>
              </w:rPr>
              <w:object>
                <v:shape id="_x0000_i1025" o:spt="75" type="#_x0000_t75" style="height:34.35pt;width:103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14:paraId="54122739">
            <w:pPr>
              <w:adjustRightInd w:val="0"/>
              <w:snapToGrid w:val="0"/>
              <w:spacing w:line="360" w:lineRule="auto"/>
              <w:ind w:firstLine="480" w:firstLineChars="200"/>
              <w:rPr>
                <w:color w:val="auto"/>
                <w:sz w:val="24"/>
              </w:rPr>
            </w:pPr>
            <w:r>
              <w:rPr>
                <w:color w:val="auto"/>
                <w:sz w:val="24"/>
              </w:rPr>
              <w:t>式中，</w:t>
            </w:r>
            <w:r>
              <w:rPr>
                <w:rFonts w:hint="eastAsia"/>
                <w:color w:val="auto"/>
                <w:sz w:val="24"/>
                <w:lang w:val="en-US" w:eastAsia="zh-CN"/>
              </w:rPr>
              <w:t>L</w:t>
            </w:r>
            <w:r>
              <w:rPr>
                <w:rFonts w:hint="eastAsia"/>
                <w:color w:val="auto"/>
                <w:sz w:val="24"/>
                <w:vertAlign w:val="subscript"/>
                <w:lang w:val="en-US" w:eastAsia="zh-CN"/>
              </w:rPr>
              <w:t>A</w:t>
            </w:r>
            <w:r>
              <w:rPr>
                <w:rFonts w:hint="eastAsia"/>
                <w:color w:val="auto"/>
                <w:sz w:val="24"/>
                <w:vertAlign w:val="baseline"/>
                <w:lang w:eastAsia="zh-CN"/>
              </w:rPr>
              <w:t>——</w:t>
            </w:r>
            <w:r>
              <w:rPr>
                <w:color w:val="auto"/>
                <w:sz w:val="24"/>
              </w:rPr>
              <w:t>多个噪声源叠加的综合噪声声级，dB（A）；</w:t>
            </w:r>
          </w:p>
          <w:p w14:paraId="0B9AACEB">
            <w:pPr>
              <w:adjustRightInd w:val="0"/>
              <w:snapToGrid w:val="0"/>
              <w:spacing w:line="360" w:lineRule="auto"/>
              <w:ind w:firstLine="1200" w:firstLineChars="500"/>
              <w:rPr>
                <w:color w:val="auto"/>
                <w:sz w:val="24"/>
              </w:rPr>
            </w:pPr>
            <w:r>
              <w:rPr>
                <w:rFonts w:hint="eastAsia"/>
                <w:color w:val="auto"/>
                <w:sz w:val="24"/>
                <w:lang w:val="en-US" w:eastAsia="zh-CN"/>
              </w:rPr>
              <w:t>L</w:t>
            </w:r>
            <w:r>
              <w:rPr>
                <w:rFonts w:hint="eastAsia"/>
                <w:color w:val="auto"/>
                <w:sz w:val="24"/>
                <w:vertAlign w:val="subscript"/>
                <w:lang w:val="en-US" w:eastAsia="zh-CN"/>
              </w:rPr>
              <w:t>i</w:t>
            </w:r>
            <w:r>
              <w:rPr>
                <w:rFonts w:hint="eastAsia"/>
                <w:color w:val="auto"/>
                <w:sz w:val="24"/>
                <w:lang w:eastAsia="zh-CN"/>
              </w:rPr>
              <w:t>——</w:t>
            </w:r>
            <w:r>
              <w:rPr>
                <w:color w:val="auto"/>
                <w:sz w:val="24"/>
              </w:rPr>
              <w:t>第</w:t>
            </w:r>
            <w:r>
              <w:rPr>
                <w:rFonts w:hint="eastAsia"/>
                <w:color w:val="auto"/>
                <w:sz w:val="24"/>
              </w:rPr>
              <w:t>i</w:t>
            </w:r>
            <w:r>
              <w:rPr>
                <w:color w:val="auto"/>
                <w:sz w:val="24"/>
              </w:rPr>
              <w:t>个噪声源的声级，dB（A）；</w:t>
            </w:r>
          </w:p>
          <w:p w14:paraId="3EBBC843">
            <w:pPr>
              <w:adjustRightInd w:val="0"/>
              <w:snapToGrid w:val="0"/>
              <w:spacing w:before="120" w:beforeLines="50" w:line="360" w:lineRule="auto"/>
              <w:ind w:firstLine="1200" w:firstLineChars="500"/>
              <w:rPr>
                <w:color w:val="auto"/>
                <w:sz w:val="24"/>
              </w:rPr>
            </w:pPr>
            <w:r>
              <w:rPr>
                <w:rFonts w:hint="eastAsia"/>
                <w:color w:val="auto"/>
                <w:sz w:val="24"/>
                <w:lang w:val="en-US" w:eastAsia="zh-CN"/>
              </w:rPr>
              <w:t>n</w:t>
            </w:r>
            <w:r>
              <w:rPr>
                <w:rFonts w:hint="eastAsia"/>
                <w:color w:val="auto"/>
                <w:sz w:val="24"/>
                <w:lang w:eastAsia="zh-CN"/>
              </w:rPr>
              <w:t>——</w:t>
            </w:r>
            <w:r>
              <w:rPr>
                <w:color w:val="auto"/>
                <w:sz w:val="24"/>
              </w:rPr>
              <w:t>噪声源的个数。</w:t>
            </w:r>
          </w:p>
          <w:p w14:paraId="778CB72F">
            <w:pPr>
              <w:adjustRightInd w:val="0"/>
              <w:snapToGrid w:val="0"/>
              <w:spacing w:before="120" w:beforeLines="50" w:line="360" w:lineRule="auto"/>
              <w:ind w:firstLine="480" w:firstLineChars="200"/>
              <w:rPr>
                <w:rFonts w:hint="eastAsia" w:eastAsia="宋体"/>
                <w:color w:val="auto"/>
                <w:sz w:val="24"/>
                <w:lang w:eastAsia="zh-CN"/>
              </w:rPr>
            </w:pPr>
            <w:r>
              <w:rPr>
                <w:rFonts w:hint="eastAsia"/>
                <w:color w:val="auto"/>
                <w:sz w:val="24"/>
              </w:rPr>
              <w:t>经计算，</w:t>
            </w:r>
            <w:r>
              <w:rPr>
                <w:color w:val="auto"/>
                <w:sz w:val="24"/>
              </w:rPr>
              <w:t>本项目</w:t>
            </w:r>
            <w:r>
              <w:rPr>
                <w:rFonts w:hint="eastAsia"/>
                <w:color w:val="auto"/>
                <w:sz w:val="24"/>
              </w:rPr>
              <w:t>厂区内</w:t>
            </w:r>
            <w:r>
              <w:rPr>
                <w:color w:val="auto"/>
                <w:sz w:val="24"/>
              </w:rPr>
              <w:t>综合噪声源强为</w:t>
            </w:r>
            <w:r>
              <w:rPr>
                <w:rFonts w:hint="eastAsia"/>
                <w:color w:val="auto"/>
                <w:sz w:val="24"/>
                <w:lang w:val="en-US" w:eastAsia="zh-CN"/>
              </w:rPr>
              <w:t>86.1</w:t>
            </w:r>
            <w:r>
              <w:rPr>
                <w:color w:val="auto"/>
                <w:sz w:val="24"/>
              </w:rPr>
              <w:t>dB（A）</w:t>
            </w:r>
            <w:r>
              <w:rPr>
                <w:rFonts w:hint="eastAsia"/>
                <w:color w:val="auto"/>
                <w:sz w:val="24"/>
                <w:lang w:eastAsia="zh-CN"/>
              </w:rPr>
              <w:t>。</w:t>
            </w:r>
          </w:p>
          <w:p w14:paraId="5A9FEEC5">
            <w:pPr>
              <w:tabs>
                <w:tab w:val="left" w:pos="2760"/>
              </w:tabs>
              <w:autoSpaceDE w:val="0"/>
              <w:autoSpaceDN w:val="0"/>
              <w:adjustRightInd w:val="0"/>
              <w:spacing w:line="360" w:lineRule="auto"/>
              <w:ind w:firstLine="480" w:firstLineChars="200"/>
              <w:rPr>
                <w:color w:val="auto"/>
                <w:sz w:val="24"/>
              </w:rPr>
            </w:pPr>
            <w:r>
              <w:rPr>
                <w:color w:val="auto"/>
                <w:sz w:val="24"/>
              </w:rPr>
              <w:t>声环境预测模式选用《环境影响评价技术导则—声环境》（HJ2.4—2021）中推荐的</w:t>
            </w:r>
            <w:r>
              <w:rPr>
                <w:rFonts w:hint="eastAsia"/>
                <w:color w:val="auto"/>
                <w:sz w:val="24"/>
              </w:rPr>
              <w:t>声能在半自由空间中的</w:t>
            </w:r>
            <w:r>
              <w:rPr>
                <w:color w:val="auto"/>
                <w:sz w:val="24"/>
              </w:rPr>
              <w:t>衰减模式</w:t>
            </w:r>
            <w:r>
              <w:rPr>
                <w:rFonts w:hint="eastAsia"/>
                <w:color w:val="auto"/>
                <w:sz w:val="24"/>
              </w:rPr>
              <w:t>，选用的噪声随距离衰减公式为：</w:t>
            </w:r>
          </w:p>
          <w:p w14:paraId="77DEE9EB">
            <w:pPr>
              <w:tabs>
                <w:tab w:val="left" w:pos="2760"/>
              </w:tabs>
              <w:autoSpaceDE w:val="0"/>
              <w:autoSpaceDN w:val="0"/>
              <w:adjustRightInd w:val="0"/>
              <w:spacing w:line="360" w:lineRule="auto"/>
              <w:ind w:firstLine="480"/>
              <w:jc w:val="center"/>
              <w:rPr>
                <w:rFonts w:hAnsi="Cambria Math"/>
                <w:color w:val="auto"/>
                <w:sz w:val="24"/>
              </w:rPr>
            </w:pPr>
            <w:r>
              <w:rPr>
                <w:rFonts w:cs="隶书"/>
                <w:color w:val="auto"/>
                <w:position w:val="-10"/>
                <w:sz w:val="24"/>
              </w:rPr>
              <w:object>
                <v:shape id="_x0000_i1026" o:spt="75" type="#_x0000_t75" style="height:21.75pt;width:178.3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14:paraId="1A4350B1">
            <w:pPr>
              <w:tabs>
                <w:tab w:val="left" w:pos="2760"/>
              </w:tabs>
              <w:autoSpaceDE w:val="0"/>
              <w:autoSpaceDN w:val="0"/>
              <w:adjustRightInd w:val="0"/>
              <w:spacing w:line="360" w:lineRule="auto"/>
              <w:ind w:firstLine="480" w:firstLineChars="200"/>
              <w:rPr>
                <w:color w:val="auto"/>
                <w:sz w:val="24"/>
              </w:rPr>
            </w:pPr>
            <w:r>
              <w:rPr>
                <w:rFonts w:cs="隶书"/>
                <w:color w:val="auto"/>
                <w:sz w:val="24"/>
              </w:rPr>
              <w:t>式中，</w:t>
            </w:r>
            <w:r>
              <w:rPr>
                <w:rFonts w:cs="隶书"/>
                <w:color w:val="auto"/>
                <w:position w:val="-8"/>
                <w:sz w:val="24"/>
              </w:rPr>
              <w:object>
                <v:shape id="_x0000_i1027" o:spt="75" type="#_x0000_t75" style="height:15.9pt;width:41.8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cs="隶书"/>
                <w:color w:val="auto"/>
                <w:sz w:val="24"/>
              </w:rPr>
              <w:t>：</w:t>
            </w:r>
            <w:r>
              <w:rPr>
                <w:rFonts w:hint="eastAsia"/>
                <w:color w:val="auto"/>
                <w:sz w:val="24"/>
              </w:rPr>
              <w:t>预测点处声压级</w:t>
            </w:r>
            <w:r>
              <w:rPr>
                <w:color w:val="auto"/>
                <w:sz w:val="24"/>
              </w:rPr>
              <w:t>，dB；</w:t>
            </w:r>
          </w:p>
          <w:p w14:paraId="6CD0AB59">
            <w:pPr>
              <w:adjustRightInd w:val="0"/>
              <w:snapToGrid w:val="0"/>
              <w:spacing w:line="360" w:lineRule="auto"/>
              <w:ind w:left="630" w:leftChars="300" w:firstLine="480" w:firstLineChars="200"/>
              <w:rPr>
                <w:color w:val="auto"/>
                <w:sz w:val="24"/>
              </w:rPr>
            </w:pPr>
            <w:r>
              <w:rPr>
                <w:color w:val="auto"/>
                <w:position w:val="-6"/>
                <w:sz w:val="24"/>
              </w:rPr>
              <w:object>
                <v:shape id="_x0000_i1028" o:spt="75" type="#_x0000_t75" style="height:13.4pt;width:14.2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color w:val="auto"/>
                <w:sz w:val="24"/>
              </w:rPr>
              <w:t>：点声源处噪声值，dB；</w:t>
            </w:r>
          </w:p>
          <w:p w14:paraId="0B6D8FED">
            <w:pPr>
              <w:adjustRightInd w:val="0"/>
              <w:snapToGrid w:val="0"/>
              <w:spacing w:line="360" w:lineRule="auto"/>
              <w:ind w:left="630" w:leftChars="300" w:firstLine="480" w:firstLineChars="200"/>
              <w:rPr>
                <w:color w:val="auto"/>
                <w:sz w:val="24"/>
              </w:rPr>
            </w:pPr>
            <w:r>
              <w:rPr>
                <w:color w:val="auto"/>
                <w:position w:val="-4"/>
                <w:sz w:val="24"/>
              </w:rPr>
              <w:object>
                <v:shape id="_x0000_i1029" o:spt="75" type="#_x0000_t75" style="height:10.05pt;width:8.3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color w:val="auto"/>
                <w:sz w:val="24"/>
              </w:rPr>
              <w:t>：点声源至受声点的距离，</w:t>
            </w:r>
            <w:r>
              <w:rPr>
                <w:color w:val="auto"/>
                <w:sz w:val="24"/>
              </w:rPr>
              <w:t>m</w:t>
            </w:r>
            <w:r>
              <w:rPr>
                <w:rFonts w:hint="eastAsia"/>
                <w:color w:val="auto"/>
                <w:sz w:val="24"/>
              </w:rPr>
              <w:t>。</w:t>
            </w:r>
          </w:p>
          <w:p w14:paraId="6E97C073">
            <w:pPr>
              <w:tabs>
                <w:tab w:val="left" w:pos="2760"/>
              </w:tabs>
              <w:autoSpaceDE w:val="0"/>
              <w:autoSpaceDN w:val="0"/>
              <w:adjustRightInd w:val="0"/>
              <w:spacing w:line="360" w:lineRule="auto"/>
              <w:ind w:firstLine="480" w:firstLineChars="200"/>
              <w:rPr>
                <w:rFonts w:hint="default" w:ascii="Times New Roman" w:hAnsi="Times New Roman" w:cs="Times New Roman"/>
                <w:color w:val="auto"/>
                <w:sz w:val="24"/>
                <w:lang w:val="en-US" w:eastAsia="zh-CN"/>
              </w:rPr>
            </w:pPr>
            <w:r>
              <w:rPr>
                <w:rFonts w:ascii="Times New Roman" w:hAnsi="Times New Roman" w:cs="Times New Roman"/>
                <w:color w:val="auto"/>
                <w:sz w:val="24"/>
              </w:rPr>
              <w:t>根据项目的</w:t>
            </w:r>
            <w:r>
              <w:rPr>
                <w:rFonts w:hint="eastAsia" w:ascii="Times New Roman" w:hAnsi="Times New Roman" w:cs="Times New Roman"/>
                <w:color w:val="auto"/>
                <w:sz w:val="24"/>
              </w:rPr>
              <w:t>厂房所在</w:t>
            </w:r>
            <w:r>
              <w:rPr>
                <w:rFonts w:ascii="Times New Roman" w:hAnsi="Times New Roman" w:cs="Times New Roman"/>
                <w:color w:val="auto"/>
                <w:sz w:val="24"/>
              </w:rPr>
              <w:t>位置，利用噪声预测模式和方法，对厂界噪声进行预测计算</w:t>
            </w:r>
            <w:r>
              <w:rPr>
                <w:rFonts w:hint="eastAsia" w:ascii="Times New Roman" w:hAnsi="Times New Roman" w:cs="Times New Roman"/>
                <w:color w:val="auto"/>
                <w:sz w:val="24"/>
              </w:rPr>
              <w:t>，</w:t>
            </w:r>
            <w:r>
              <w:rPr>
                <w:rFonts w:ascii="Times New Roman" w:hAnsi="Times New Roman" w:cs="Times New Roman"/>
                <w:color w:val="auto"/>
                <w:sz w:val="24"/>
              </w:rPr>
              <w:t>噪声影响预测结果见</w:t>
            </w:r>
            <w:r>
              <w:rPr>
                <w:rFonts w:hint="eastAsia" w:ascii="Times New Roman" w:hAnsi="Times New Roman" w:cs="Times New Roman"/>
                <w:color w:val="auto"/>
                <w:sz w:val="24"/>
              </w:rPr>
              <w:t>下</w:t>
            </w:r>
            <w:r>
              <w:rPr>
                <w:rFonts w:ascii="Times New Roman" w:hAnsi="Times New Roman" w:cs="Times New Roman"/>
                <w:color w:val="auto"/>
                <w:sz w:val="24"/>
              </w:rPr>
              <w:t>表</w:t>
            </w:r>
            <w:r>
              <w:rPr>
                <w:rFonts w:hint="eastAsia" w:ascii="Times New Roman" w:hAnsi="Times New Roman" w:cs="Times New Roman"/>
                <w:color w:val="auto"/>
                <w:sz w:val="24"/>
              </w:rPr>
              <w:t>。</w:t>
            </w:r>
          </w:p>
          <w:p w14:paraId="4BA7DCC6">
            <w:pPr>
              <w:spacing w:line="360" w:lineRule="auto"/>
              <w:ind w:firstLine="482"/>
              <w:jc w:val="center"/>
              <w:rPr>
                <w:rFonts w:ascii="宋体" w:hAnsi="宋体" w:cs="宋体"/>
                <w:b/>
                <w:bCs/>
                <w:color w:val="auto"/>
                <w:sz w:val="24"/>
              </w:rPr>
            </w:pPr>
            <w:r>
              <w:rPr>
                <w:rFonts w:hint="eastAsia" w:ascii="宋体" w:hAnsi="宋体" w:cs="宋体"/>
                <w:b/>
                <w:bCs/>
                <w:color w:val="auto"/>
                <w:sz w:val="24"/>
              </w:rPr>
              <w:t>表</w:t>
            </w:r>
            <w:r>
              <w:rPr>
                <w:rFonts w:eastAsia="Times New Roman"/>
                <w:b/>
                <w:bCs/>
                <w:color w:val="auto"/>
                <w:sz w:val="24"/>
              </w:rPr>
              <w:t>4-</w:t>
            </w:r>
            <w:r>
              <w:rPr>
                <w:rFonts w:hint="eastAsia"/>
                <w:b/>
                <w:bCs/>
                <w:color w:val="auto"/>
                <w:sz w:val="24"/>
                <w:lang w:val="en-US" w:eastAsia="zh-CN"/>
              </w:rPr>
              <w:t>11</w:t>
            </w:r>
            <w:r>
              <w:rPr>
                <w:rFonts w:eastAsia="Times New Roman"/>
                <w:b/>
                <w:bCs/>
                <w:color w:val="auto"/>
                <w:sz w:val="24"/>
              </w:rPr>
              <w:t xml:space="preserve">     </w:t>
            </w:r>
            <w:r>
              <w:rPr>
                <w:rFonts w:hint="eastAsia" w:ascii="宋体" w:hAnsi="宋体" w:cs="宋体"/>
                <w:b/>
                <w:bCs/>
                <w:color w:val="auto"/>
                <w:sz w:val="24"/>
              </w:rPr>
              <w:t>本项目厂界噪声预测结果</w:t>
            </w:r>
            <w:r>
              <w:rPr>
                <w:rFonts w:eastAsia="Times New Roman"/>
                <w:b/>
                <w:bCs/>
                <w:color w:val="auto"/>
                <w:sz w:val="24"/>
              </w:rPr>
              <w:t xml:space="preserve">     </w:t>
            </w:r>
            <w:r>
              <w:rPr>
                <w:rFonts w:hint="eastAsia" w:ascii="宋体" w:hAnsi="宋体" w:cs="宋体"/>
                <w:b/>
                <w:bCs/>
                <w:color w:val="auto"/>
                <w:sz w:val="24"/>
              </w:rPr>
              <w:t>单位</w:t>
            </w:r>
            <w:r>
              <w:rPr>
                <w:rFonts w:eastAsia="Times New Roman"/>
                <w:b/>
                <w:bCs/>
                <w:color w:val="auto"/>
                <w:sz w:val="24"/>
              </w:rPr>
              <w:t>dB</w:t>
            </w:r>
            <w:r>
              <w:rPr>
                <w:rFonts w:hint="eastAsia" w:ascii="宋体" w:hAnsi="宋体" w:cs="宋体"/>
                <w:b/>
                <w:bCs/>
                <w:color w:val="auto"/>
                <w:sz w:val="24"/>
              </w:rPr>
              <w:t>（</w:t>
            </w:r>
            <w:r>
              <w:rPr>
                <w:rFonts w:eastAsia="Times New Roman"/>
                <w:b/>
                <w:bCs/>
                <w:color w:val="auto"/>
                <w:sz w:val="24"/>
              </w:rPr>
              <w:t>A</w:t>
            </w:r>
            <w:r>
              <w:rPr>
                <w:rFonts w:hint="eastAsia" w:ascii="宋体" w:hAnsi="宋体" w:cs="宋体"/>
                <w:b/>
                <w:bCs/>
                <w:color w:val="auto"/>
                <w:sz w:val="24"/>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2"/>
              <w:gridCol w:w="1397"/>
              <w:gridCol w:w="1223"/>
              <w:gridCol w:w="2092"/>
              <w:gridCol w:w="1572"/>
              <w:gridCol w:w="1369"/>
            </w:tblGrid>
            <w:tr w14:paraId="05FEBF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326514A1">
                  <w:pPr>
                    <w:pStyle w:val="68"/>
                    <w:rPr>
                      <w:color w:val="auto"/>
                    </w:rPr>
                  </w:pPr>
                  <w:r>
                    <w:rPr>
                      <w:color w:val="auto"/>
                    </w:rPr>
                    <w:t>序号</w:t>
                  </w:r>
                </w:p>
              </w:tc>
              <w:tc>
                <w:tcPr>
                  <w:tcW w:w="1108" w:type="dxa"/>
                  <w:vAlign w:val="center"/>
                </w:tcPr>
                <w:p w14:paraId="3A1AD8FA">
                  <w:pPr>
                    <w:pStyle w:val="68"/>
                    <w:rPr>
                      <w:color w:val="auto"/>
                    </w:rPr>
                  </w:pPr>
                  <w:r>
                    <w:rPr>
                      <w:color w:val="auto"/>
                    </w:rPr>
                    <w:t>综合源强</w:t>
                  </w:r>
                </w:p>
              </w:tc>
              <w:tc>
                <w:tcPr>
                  <w:tcW w:w="970" w:type="dxa"/>
                  <w:vAlign w:val="center"/>
                </w:tcPr>
                <w:p w14:paraId="52B14F87">
                  <w:pPr>
                    <w:pStyle w:val="68"/>
                    <w:rPr>
                      <w:color w:val="auto"/>
                    </w:rPr>
                  </w:pPr>
                  <w:r>
                    <w:rPr>
                      <w:color w:val="auto"/>
                    </w:rPr>
                    <w:t>方位</w:t>
                  </w:r>
                </w:p>
              </w:tc>
              <w:tc>
                <w:tcPr>
                  <w:tcW w:w="1659" w:type="dxa"/>
                  <w:vAlign w:val="center"/>
                </w:tcPr>
                <w:p w14:paraId="7FE89175">
                  <w:pPr>
                    <w:pStyle w:val="68"/>
                    <w:rPr>
                      <w:color w:val="auto"/>
                    </w:rPr>
                  </w:pPr>
                  <w:r>
                    <w:rPr>
                      <w:color w:val="auto"/>
                    </w:rPr>
                    <w:t>距厂界距离（m）</w:t>
                  </w:r>
                </w:p>
              </w:tc>
              <w:tc>
                <w:tcPr>
                  <w:tcW w:w="1246" w:type="dxa"/>
                  <w:vAlign w:val="center"/>
                </w:tcPr>
                <w:p w14:paraId="2A9A79CD">
                  <w:pPr>
                    <w:pStyle w:val="68"/>
                    <w:rPr>
                      <w:color w:val="auto"/>
                    </w:rPr>
                  </w:pPr>
                  <w:r>
                    <w:rPr>
                      <w:color w:val="auto"/>
                    </w:rPr>
                    <w:t>贡献值</w:t>
                  </w:r>
                </w:p>
              </w:tc>
              <w:tc>
                <w:tcPr>
                  <w:tcW w:w="1085" w:type="dxa"/>
                  <w:vAlign w:val="center"/>
                </w:tcPr>
                <w:p w14:paraId="10FF0FF5">
                  <w:pPr>
                    <w:pStyle w:val="68"/>
                    <w:rPr>
                      <w:color w:val="auto"/>
                    </w:rPr>
                  </w:pPr>
                  <w:r>
                    <w:rPr>
                      <w:color w:val="auto"/>
                    </w:rPr>
                    <w:t>标准值</w:t>
                  </w:r>
                </w:p>
              </w:tc>
            </w:tr>
            <w:tr w14:paraId="16A7B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187D79FC">
                  <w:pPr>
                    <w:pStyle w:val="68"/>
                    <w:rPr>
                      <w:color w:val="auto"/>
                    </w:rPr>
                  </w:pPr>
                  <w:r>
                    <w:rPr>
                      <w:rFonts w:hint="eastAsia"/>
                      <w:color w:val="auto"/>
                    </w:rPr>
                    <w:t>1</w:t>
                  </w:r>
                </w:p>
              </w:tc>
              <w:tc>
                <w:tcPr>
                  <w:tcW w:w="1108" w:type="dxa"/>
                  <w:vMerge w:val="restart"/>
                  <w:vAlign w:val="center"/>
                </w:tcPr>
                <w:p w14:paraId="1BBB973B">
                  <w:pPr>
                    <w:pStyle w:val="68"/>
                    <w:rPr>
                      <w:rFonts w:hint="default" w:eastAsia="宋体"/>
                      <w:color w:val="auto"/>
                      <w:lang w:val="en-US" w:eastAsia="zh-CN"/>
                    </w:rPr>
                  </w:pPr>
                  <w:r>
                    <w:rPr>
                      <w:rFonts w:hint="eastAsia"/>
                      <w:color w:val="auto"/>
                      <w:lang w:val="en-US" w:eastAsia="zh-CN"/>
                    </w:rPr>
                    <w:t>86.1</w:t>
                  </w:r>
                </w:p>
              </w:tc>
              <w:tc>
                <w:tcPr>
                  <w:tcW w:w="970" w:type="dxa"/>
                  <w:vAlign w:val="center"/>
                </w:tcPr>
                <w:p w14:paraId="7648E052">
                  <w:pPr>
                    <w:pStyle w:val="68"/>
                    <w:rPr>
                      <w:color w:val="auto"/>
                    </w:rPr>
                  </w:pPr>
                  <w:r>
                    <w:rPr>
                      <w:color w:val="auto"/>
                    </w:rPr>
                    <w:t>东</w:t>
                  </w:r>
                </w:p>
              </w:tc>
              <w:tc>
                <w:tcPr>
                  <w:tcW w:w="1659" w:type="dxa"/>
                  <w:vAlign w:val="center"/>
                </w:tcPr>
                <w:p w14:paraId="5CE89D20">
                  <w:pPr>
                    <w:pStyle w:val="68"/>
                    <w:rPr>
                      <w:rFonts w:hint="default" w:eastAsia="宋体"/>
                      <w:color w:val="auto"/>
                      <w:lang w:val="en-US" w:eastAsia="zh-CN"/>
                    </w:rPr>
                  </w:pPr>
                  <w:r>
                    <w:rPr>
                      <w:rFonts w:hint="eastAsia"/>
                      <w:color w:val="auto"/>
                      <w:lang w:val="en-US" w:eastAsia="zh-CN"/>
                    </w:rPr>
                    <w:t>64.5</w:t>
                  </w:r>
                </w:p>
              </w:tc>
              <w:tc>
                <w:tcPr>
                  <w:tcW w:w="1246" w:type="dxa"/>
                  <w:vAlign w:val="center"/>
                </w:tcPr>
                <w:p w14:paraId="33FB5FEC">
                  <w:pPr>
                    <w:pStyle w:val="6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42 </w:t>
                  </w:r>
                </w:p>
              </w:tc>
              <w:tc>
                <w:tcPr>
                  <w:tcW w:w="1085" w:type="dxa"/>
                  <w:vMerge w:val="restart"/>
                  <w:vAlign w:val="center"/>
                </w:tcPr>
                <w:p w14:paraId="6EF0839B">
                  <w:pPr>
                    <w:pStyle w:val="68"/>
                    <w:rPr>
                      <w:color w:val="auto"/>
                    </w:rPr>
                  </w:pPr>
                  <w:r>
                    <w:rPr>
                      <w:color w:val="auto"/>
                    </w:rPr>
                    <w:t>昼间6</w:t>
                  </w:r>
                  <w:r>
                    <w:rPr>
                      <w:rFonts w:hint="eastAsia"/>
                      <w:color w:val="auto"/>
                      <w:lang w:val="en-US" w:eastAsia="zh-CN"/>
                    </w:rPr>
                    <w:t>5</w:t>
                  </w:r>
                  <w:r>
                    <w:rPr>
                      <w:color w:val="auto"/>
                    </w:rPr>
                    <w:t>dB（A）、夜间5</w:t>
                  </w:r>
                  <w:r>
                    <w:rPr>
                      <w:rFonts w:hint="eastAsia"/>
                      <w:color w:val="auto"/>
                      <w:lang w:val="en-US" w:eastAsia="zh-CN"/>
                    </w:rPr>
                    <w:t>5</w:t>
                  </w:r>
                  <w:r>
                    <w:rPr>
                      <w:color w:val="auto"/>
                    </w:rPr>
                    <w:t>dB（A）</w:t>
                  </w:r>
                </w:p>
              </w:tc>
            </w:tr>
            <w:tr w14:paraId="55CF00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57707993">
                  <w:pPr>
                    <w:pStyle w:val="68"/>
                    <w:rPr>
                      <w:color w:val="auto"/>
                    </w:rPr>
                  </w:pPr>
                  <w:r>
                    <w:rPr>
                      <w:rFonts w:hint="eastAsia"/>
                      <w:color w:val="auto"/>
                    </w:rPr>
                    <w:t>2</w:t>
                  </w:r>
                </w:p>
              </w:tc>
              <w:tc>
                <w:tcPr>
                  <w:tcW w:w="1108" w:type="dxa"/>
                  <w:vMerge w:val="continue"/>
                  <w:vAlign w:val="center"/>
                </w:tcPr>
                <w:p w14:paraId="57D96108">
                  <w:pPr>
                    <w:pStyle w:val="68"/>
                    <w:rPr>
                      <w:color w:val="auto"/>
                    </w:rPr>
                  </w:pPr>
                </w:p>
              </w:tc>
              <w:tc>
                <w:tcPr>
                  <w:tcW w:w="970" w:type="dxa"/>
                  <w:vAlign w:val="center"/>
                </w:tcPr>
                <w:p w14:paraId="7B797EC6">
                  <w:pPr>
                    <w:pStyle w:val="68"/>
                    <w:rPr>
                      <w:color w:val="auto"/>
                    </w:rPr>
                  </w:pPr>
                  <w:r>
                    <w:rPr>
                      <w:color w:val="auto"/>
                    </w:rPr>
                    <w:t>南</w:t>
                  </w:r>
                </w:p>
              </w:tc>
              <w:tc>
                <w:tcPr>
                  <w:tcW w:w="1659" w:type="dxa"/>
                  <w:vAlign w:val="center"/>
                </w:tcPr>
                <w:p w14:paraId="5896B53F">
                  <w:pPr>
                    <w:pStyle w:val="68"/>
                    <w:rPr>
                      <w:rFonts w:hint="default" w:eastAsia="宋体"/>
                      <w:color w:val="auto"/>
                      <w:lang w:val="en-US" w:eastAsia="zh-CN"/>
                    </w:rPr>
                  </w:pPr>
                  <w:r>
                    <w:rPr>
                      <w:rFonts w:hint="eastAsia"/>
                      <w:color w:val="auto"/>
                      <w:lang w:val="en-US" w:eastAsia="zh-CN"/>
                    </w:rPr>
                    <w:t>40.4</w:t>
                  </w:r>
                </w:p>
              </w:tc>
              <w:tc>
                <w:tcPr>
                  <w:tcW w:w="1246" w:type="dxa"/>
                  <w:vAlign w:val="center"/>
                </w:tcPr>
                <w:p w14:paraId="541A9028">
                  <w:pPr>
                    <w:pStyle w:val="6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46 </w:t>
                  </w:r>
                </w:p>
              </w:tc>
              <w:tc>
                <w:tcPr>
                  <w:tcW w:w="1085" w:type="dxa"/>
                  <w:vMerge w:val="continue"/>
                  <w:vAlign w:val="center"/>
                </w:tcPr>
                <w:p w14:paraId="45381D92">
                  <w:pPr>
                    <w:pStyle w:val="68"/>
                    <w:rPr>
                      <w:color w:val="auto"/>
                    </w:rPr>
                  </w:pPr>
                </w:p>
              </w:tc>
            </w:tr>
            <w:tr w14:paraId="69C62F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62EB41EC">
                  <w:pPr>
                    <w:pStyle w:val="68"/>
                    <w:rPr>
                      <w:color w:val="auto"/>
                    </w:rPr>
                  </w:pPr>
                  <w:r>
                    <w:rPr>
                      <w:rFonts w:hint="eastAsia"/>
                      <w:color w:val="auto"/>
                    </w:rPr>
                    <w:t>3</w:t>
                  </w:r>
                </w:p>
              </w:tc>
              <w:tc>
                <w:tcPr>
                  <w:tcW w:w="1108" w:type="dxa"/>
                  <w:vMerge w:val="continue"/>
                  <w:vAlign w:val="center"/>
                </w:tcPr>
                <w:p w14:paraId="07702FB8">
                  <w:pPr>
                    <w:pStyle w:val="68"/>
                    <w:rPr>
                      <w:color w:val="auto"/>
                    </w:rPr>
                  </w:pPr>
                </w:p>
              </w:tc>
              <w:tc>
                <w:tcPr>
                  <w:tcW w:w="970" w:type="dxa"/>
                  <w:vAlign w:val="center"/>
                </w:tcPr>
                <w:p w14:paraId="1EB51507">
                  <w:pPr>
                    <w:pStyle w:val="68"/>
                    <w:rPr>
                      <w:color w:val="auto"/>
                    </w:rPr>
                  </w:pPr>
                  <w:r>
                    <w:rPr>
                      <w:color w:val="auto"/>
                    </w:rPr>
                    <w:t>西</w:t>
                  </w:r>
                </w:p>
              </w:tc>
              <w:tc>
                <w:tcPr>
                  <w:tcW w:w="1659" w:type="dxa"/>
                  <w:vAlign w:val="center"/>
                </w:tcPr>
                <w:p w14:paraId="22EDC88A">
                  <w:pPr>
                    <w:pStyle w:val="68"/>
                    <w:rPr>
                      <w:rFonts w:hint="default" w:eastAsia="宋体"/>
                      <w:color w:val="auto"/>
                      <w:lang w:val="en-US" w:eastAsia="zh-CN"/>
                    </w:rPr>
                  </w:pPr>
                  <w:r>
                    <w:rPr>
                      <w:rFonts w:hint="eastAsia"/>
                      <w:color w:val="auto"/>
                      <w:lang w:val="en-US" w:eastAsia="zh-CN"/>
                    </w:rPr>
                    <w:t>18.9</w:t>
                  </w:r>
                </w:p>
              </w:tc>
              <w:tc>
                <w:tcPr>
                  <w:tcW w:w="1246" w:type="dxa"/>
                  <w:vAlign w:val="center"/>
                </w:tcPr>
                <w:p w14:paraId="5F989F11">
                  <w:pPr>
                    <w:pStyle w:val="6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53 </w:t>
                  </w:r>
                </w:p>
              </w:tc>
              <w:tc>
                <w:tcPr>
                  <w:tcW w:w="1085" w:type="dxa"/>
                  <w:vMerge w:val="continue"/>
                  <w:vAlign w:val="center"/>
                </w:tcPr>
                <w:p w14:paraId="29AC2029">
                  <w:pPr>
                    <w:pStyle w:val="68"/>
                    <w:rPr>
                      <w:color w:val="auto"/>
                    </w:rPr>
                  </w:pPr>
                </w:p>
              </w:tc>
            </w:tr>
            <w:tr w14:paraId="60A33F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34" w:type="dxa"/>
                  <w:vAlign w:val="center"/>
                </w:tcPr>
                <w:p w14:paraId="59AB9461">
                  <w:pPr>
                    <w:pStyle w:val="68"/>
                    <w:rPr>
                      <w:color w:val="auto"/>
                    </w:rPr>
                  </w:pPr>
                  <w:r>
                    <w:rPr>
                      <w:rFonts w:hint="eastAsia"/>
                      <w:color w:val="auto"/>
                    </w:rPr>
                    <w:t>4</w:t>
                  </w:r>
                </w:p>
              </w:tc>
              <w:tc>
                <w:tcPr>
                  <w:tcW w:w="1108" w:type="dxa"/>
                  <w:vMerge w:val="continue"/>
                  <w:vAlign w:val="center"/>
                </w:tcPr>
                <w:p w14:paraId="3018EEA9">
                  <w:pPr>
                    <w:pStyle w:val="68"/>
                    <w:rPr>
                      <w:color w:val="auto"/>
                    </w:rPr>
                  </w:pPr>
                </w:p>
              </w:tc>
              <w:tc>
                <w:tcPr>
                  <w:tcW w:w="970" w:type="dxa"/>
                  <w:vAlign w:val="center"/>
                </w:tcPr>
                <w:p w14:paraId="7B9E6FF1">
                  <w:pPr>
                    <w:pStyle w:val="68"/>
                    <w:rPr>
                      <w:color w:val="auto"/>
                    </w:rPr>
                  </w:pPr>
                  <w:r>
                    <w:rPr>
                      <w:color w:val="auto"/>
                    </w:rPr>
                    <w:t>北</w:t>
                  </w:r>
                </w:p>
              </w:tc>
              <w:tc>
                <w:tcPr>
                  <w:tcW w:w="1659" w:type="dxa"/>
                  <w:vAlign w:val="center"/>
                </w:tcPr>
                <w:p w14:paraId="5BB07E6C">
                  <w:pPr>
                    <w:pStyle w:val="68"/>
                    <w:rPr>
                      <w:rFonts w:hint="default" w:eastAsia="宋体"/>
                      <w:color w:val="auto"/>
                      <w:lang w:val="en-US" w:eastAsia="zh-CN"/>
                    </w:rPr>
                  </w:pPr>
                  <w:r>
                    <w:rPr>
                      <w:rFonts w:hint="eastAsia"/>
                      <w:color w:val="auto"/>
                      <w:lang w:val="en-US" w:eastAsia="zh-CN"/>
                    </w:rPr>
                    <w:t>41.3</w:t>
                  </w:r>
                </w:p>
              </w:tc>
              <w:tc>
                <w:tcPr>
                  <w:tcW w:w="1246" w:type="dxa"/>
                  <w:vAlign w:val="center"/>
                </w:tcPr>
                <w:p w14:paraId="252303D3">
                  <w:pPr>
                    <w:pStyle w:val="6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46 </w:t>
                  </w:r>
                </w:p>
              </w:tc>
              <w:tc>
                <w:tcPr>
                  <w:tcW w:w="1085" w:type="dxa"/>
                  <w:vMerge w:val="continue"/>
                  <w:vAlign w:val="center"/>
                </w:tcPr>
                <w:p w14:paraId="5B11ACE4">
                  <w:pPr>
                    <w:pStyle w:val="68"/>
                    <w:rPr>
                      <w:color w:val="auto"/>
                      <w:szCs w:val="21"/>
                    </w:rPr>
                  </w:pPr>
                </w:p>
              </w:tc>
            </w:tr>
          </w:tbl>
          <w:p w14:paraId="03B033E3">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cs="隶书"/>
                <w:color w:val="auto"/>
                <w:sz w:val="24"/>
              </w:rPr>
              <w:t>经过预测分析，运营期</w:t>
            </w:r>
            <w:r>
              <w:rPr>
                <w:rFonts w:hint="eastAsia" w:cs="隶书"/>
                <w:color w:val="auto"/>
                <w:sz w:val="24"/>
              </w:rPr>
              <w:t>厂</w:t>
            </w:r>
            <w:r>
              <w:rPr>
                <w:rFonts w:cs="隶书"/>
                <w:color w:val="auto"/>
                <w:sz w:val="24"/>
              </w:rPr>
              <w:t>界</w:t>
            </w:r>
            <w:r>
              <w:rPr>
                <w:rFonts w:hint="eastAsia" w:cs="隶书"/>
                <w:color w:val="auto"/>
                <w:sz w:val="24"/>
              </w:rPr>
              <w:t>四周</w:t>
            </w:r>
            <w:r>
              <w:rPr>
                <w:rFonts w:cs="隶书"/>
                <w:color w:val="auto"/>
                <w:sz w:val="24"/>
              </w:rPr>
              <w:t>昼</w:t>
            </w:r>
            <w:r>
              <w:rPr>
                <w:rFonts w:hint="eastAsia" w:cs="隶书"/>
                <w:color w:val="auto"/>
                <w:sz w:val="24"/>
              </w:rPr>
              <w:t>、</w:t>
            </w:r>
            <w:r>
              <w:rPr>
                <w:rFonts w:cs="隶书"/>
                <w:color w:val="auto"/>
                <w:sz w:val="24"/>
              </w:rPr>
              <w:t>夜噪声</w:t>
            </w:r>
            <w:r>
              <w:rPr>
                <w:rFonts w:hint="eastAsia" w:cs="隶书"/>
                <w:color w:val="auto"/>
                <w:sz w:val="24"/>
              </w:rPr>
              <w:t>预测值</w:t>
            </w:r>
            <w:r>
              <w:rPr>
                <w:rFonts w:cs="隶书"/>
                <w:color w:val="auto"/>
                <w:sz w:val="24"/>
              </w:rPr>
              <w:t>未超过《工业企业厂界环境噪声排</w:t>
            </w:r>
            <w:r>
              <w:rPr>
                <w:color w:val="auto"/>
                <w:sz w:val="24"/>
              </w:rPr>
              <w:t>放标准》（GB 12348-2008）</w:t>
            </w:r>
            <w:r>
              <w:rPr>
                <w:rFonts w:hint="eastAsia"/>
                <w:color w:val="auto"/>
                <w:sz w:val="24"/>
                <w:lang w:val="en-US" w:eastAsia="zh-CN"/>
              </w:rPr>
              <w:t>3</w:t>
            </w:r>
            <w:r>
              <w:rPr>
                <w:color w:val="auto"/>
                <w:sz w:val="24"/>
              </w:rPr>
              <w:t>类标准</w:t>
            </w:r>
            <w:r>
              <w:rPr>
                <w:rFonts w:hint="eastAsia"/>
                <w:color w:val="auto"/>
                <w:sz w:val="24"/>
              </w:rPr>
              <w:t>，因此项目正常运营期间设备噪声对外部环境影响不大</w:t>
            </w:r>
            <w:r>
              <w:rPr>
                <w:rFonts w:hint="eastAsia"/>
                <w:color w:val="auto"/>
                <w:sz w:val="24"/>
                <w:lang w:eastAsia="zh-CN"/>
              </w:rPr>
              <w:t>。</w:t>
            </w:r>
          </w:p>
          <w:p w14:paraId="0FF2909C">
            <w:pPr>
              <w:pStyle w:val="36"/>
              <w:numPr>
                <w:ilvl w:val="0"/>
                <w:numId w:val="0"/>
              </w:numPr>
              <w:spacing w:line="360" w:lineRule="auto"/>
              <w:rPr>
                <w:rFonts w:hint="default" w:ascii="Times New Roman" w:hAnsi="Times New Roman" w:eastAsia="宋体" w:cs="Times New Roman"/>
                <w:b/>
                <w:bCs/>
                <w:color w:val="auto"/>
                <w:kern w:val="44"/>
                <w:sz w:val="24"/>
                <w:szCs w:val="24"/>
                <w:highlight w:val="none"/>
                <w:lang w:val="en-US" w:eastAsia="zh-CN" w:bidi="ar-SA"/>
              </w:rPr>
            </w:pPr>
            <w:r>
              <w:rPr>
                <w:rFonts w:hint="eastAsia" w:ascii="Times New Roman" w:hAnsi="Times New Roman" w:cs="Times New Roman"/>
                <w:b/>
                <w:bCs/>
                <w:color w:val="auto"/>
                <w:kern w:val="44"/>
                <w:sz w:val="24"/>
                <w:szCs w:val="24"/>
                <w:highlight w:val="none"/>
                <w:lang w:val="en-US" w:eastAsia="zh-CN" w:bidi="ar-SA"/>
              </w:rPr>
              <w:t>2、噪声防治措施</w:t>
            </w:r>
          </w:p>
          <w:p w14:paraId="36ADB00D">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噪声防治措施主要是室内安置，隔声减震。</w:t>
            </w:r>
          </w:p>
          <w:p w14:paraId="7367C08F">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①对设备采取减振、隔声</w:t>
            </w:r>
          </w:p>
          <w:p w14:paraId="73320BEB">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提高设备零部件的装配精度，加强其运转零部件间的润滑程度，以降低其间的摩擦力，对设备与其基础间及设备各连接部位间加装减振装置（如弹性钢垫或橡胶衬垫），以减少其间的振动。</w:t>
            </w:r>
          </w:p>
          <w:p w14:paraId="741A5AFA">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②加强设备养护管理</w:t>
            </w:r>
          </w:p>
          <w:p w14:paraId="5DDEA101">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建立设备定期维护，保养的管理制度，以防止设备故障形成的非正常生产事故，提倡文明生产，防止人为噪声。</w:t>
            </w:r>
          </w:p>
          <w:p w14:paraId="2B66A0D1">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本项目只要落实上述噪声治理措施，提高环保意识，对项目周边声环境的影响就可以控制在允许的范围内。</w:t>
            </w:r>
          </w:p>
          <w:p w14:paraId="6FB77F8C">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ascii="Times New Roman" w:hAnsi="Times New Roman" w:cs="Times New Roman"/>
                <w:b/>
                <w:bCs/>
                <w:color w:val="auto"/>
                <w:kern w:val="44"/>
                <w:sz w:val="24"/>
                <w:szCs w:val="24"/>
                <w:highlight w:val="none"/>
                <w:lang w:val="en-US" w:eastAsia="zh-CN" w:bidi="ar-SA"/>
              </w:rPr>
              <w:t>3、噪声监测计划</w:t>
            </w:r>
          </w:p>
          <w:p w14:paraId="269D9EBB">
            <w:pPr>
              <w:adjustRightInd w:val="0"/>
              <w:snapToGrid w:val="0"/>
              <w:spacing w:line="360" w:lineRule="auto"/>
              <w:ind w:firstLine="480" w:firstLineChars="200"/>
              <w:rPr>
                <w:color w:val="auto"/>
                <w:sz w:val="24"/>
              </w:rPr>
            </w:pPr>
            <w:r>
              <w:rPr>
                <w:color w:val="auto"/>
                <w:sz w:val="24"/>
              </w:rPr>
              <w:t>根据《排污单位自行监测技术指南 总则》（HJ819-2017），制定本项目噪声监测计划，具体如下：</w:t>
            </w:r>
          </w:p>
          <w:p w14:paraId="192020E3">
            <w:pPr>
              <w:jc w:val="both"/>
              <w:rPr>
                <w:b/>
                <w:color w:val="auto"/>
                <w:sz w:val="24"/>
              </w:rPr>
            </w:pPr>
            <w:r>
              <w:rPr>
                <w:b/>
                <w:color w:val="auto"/>
                <w:sz w:val="24"/>
              </w:rPr>
              <w:t>表4-</w:t>
            </w:r>
            <w:r>
              <w:rPr>
                <w:rFonts w:hint="eastAsia"/>
                <w:b/>
                <w:color w:val="auto"/>
                <w:sz w:val="24"/>
                <w:lang w:val="en-US" w:eastAsia="zh-CN"/>
              </w:rPr>
              <w:t>12</w:t>
            </w:r>
            <w:r>
              <w:rPr>
                <w:b/>
                <w:color w:val="auto"/>
                <w:sz w:val="24"/>
              </w:rPr>
              <w:t xml:space="preserve">     </w:t>
            </w:r>
            <w:r>
              <w:rPr>
                <w:rFonts w:hint="eastAsia"/>
                <w:b/>
                <w:color w:val="auto"/>
                <w:sz w:val="24"/>
                <w:lang w:val="en-US" w:eastAsia="zh-CN"/>
              </w:rPr>
              <w:t xml:space="preserve">            </w:t>
            </w:r>
            <w:r>
              <w:rPr>
                <w:b/>
                <w:color w:val="auto"/>
                <w:sz w:val="24"/>
              </w:rPr>
              <w:t>运营期</w:t>
            </w:r>
            <w:r>
              <w:rPr>
                <w:rFonts w:hint="eastAsia"/>
                <w:b/>
                <w:color w:val="auto"/>
                <w:sz w:val="24"/>
              </w:rPr>
              <w:t>噪声</w:t>
            </w:r>
            <w:r>
              <w:rPr>
                <w:b/>
                <w:color w:val="auto"/>
                <w:sz w:val="24"/>
              </w:rPr>
              <w:t>监测</w:t>
            </w:r>
            <w:r>
              <w:rPr>
                <w:rFonts w:hint="eastAsia"/>
                <w:b/>
                <w:color w:val="auto"/>
                <w:sz w:val="24"/>
              </w:rPr>
              <w:t>计划</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1723"/>
              <w:gridCol w:w="1864"/>
              <w:gridCol w:w="1866"/>
              <w:gridCol w:w="1867"/>
            </w:tblGrid>
            <w:tr w14:paraId="5260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8" w:type="pct"/>
                  <w:tcMar>
                    <w:left w:w="0" w:type="dxa"/>
                    <w:right w:w="0" w:type="dxa"/>
                  </w:tcMar>
                  <w:vAlign w:val="center"/>
                </w:tcPr>
                <w:p w14:paraId="77DED729">
                  <w:pPr>
                    <w:pStyle w:val="68"/>
                    <w:rPr>
                      <w:rFonts w:hint="eastAsia" w:eastAsia="宋体"/>
                      <w:color w:val="auto"/>
                      <w:lang w:eastAsia="zh-CN"/>
                    </w:rPr>
                  </w:pPr>
                  <w:r>
                    <w:rPr>
                      <w:rFonts w:hint="eastAsia"/>
                      <w:color w:val="auto"/>
                      <w:lang w:val="en-US" w:eastAsia="zh-CN"/>
                    </w:rPr>
                    <w:t>内容</w:t>
                  </w:r>
                </w:p>
              </w:tc>
              <w:tc>
                <w:tcPr>
                  <w:tcW w:w="991" w:type="pct"/>
                  <w:tcMar>
                    <w:left w:w="0" w:type="dxa"/>
                    <w:right w:w="0" w:type="dxa"/>
                  </w:tcMar>
                  <w:vAlign w:val="center"/>
                </w:tcPr>
                <w:p w14:paraId="1A5DACB9">
                  <w:pPr>
                    <w:pStyle w:val="68"/>
                    <w:rPr>
                      <w:rFonts w:hint="eastAsia" w:eastAsia="宋体"/>
                      <w:color w:val="auto"/>
                      <w:lang w:eastAsia="zh-CN"/>
                    </w:rPr>
                  </w:pPr>
                  <w:r>
                    <w:rPr>
                      <w:color w:val="auto"/>
                    </w:rPr>
                    <w:t>监测</w:t>
                  </w:r>
                  <w:r>
                    <w:rPr>
                      <w:rFonts w:hint="eastAsia"/>
                      <w:color w:val="auto"/>
                      <w:lang w:val="en-US" w:eastAsia="zh-CN"/>
                    </w:rPr>
                    <w:t>项目</w:t>
                  </w:r>
                </w:p>
              </w:tc>
              <w:tc>
                <w:tcPr>
                  <w:tcW w:w="1072" w:type="pct"/>
                  <w:tcMar>
                    <w:left w:w="0" w:type="dxa"/>
                    <w:right w:w="0" w:type="dxa"/>
                  </w:tcMar>
                  <w:vAlign w:val="center"/>
                </w:tcPr>
                <w:p w14:paraId="539F3C10">
                  <w:pPr>
                    <w:pStyle w:val="68"/>
                    <w:rPr>
                      <w:rFonts w:hint="default" w:eastAsia="宋体"/>
                      <w:color w:val="auto"/>
                      <w:lang w:val="en-US" w:eastAsia="zh-CN"/>
                    </w:rPr>
                  </w:pPr>
                  <w:r>
                    <w:rPr>
                      <w:rFonts w:hint="eastAsia"/>
                      <w:color w:val="auto"/>
                      <w:lang w:val="en-US" w:eastAsia="zh-CN"/>
                    </w:rPr>
                    <w:t>监测点</w:t>
                  </w:r>
                </w:p>
              </w:tc>
              <w:tc>
                <w:tcPr>
                  <w:tcW w:w="1073" w:type="pct"/>
                  <w:tcMar>
                    <w:left w:w="0" w:type="dxa"/>
                    <w:right w:w="0" w:type="dxa"/>
                  </w:tcMar>
                  <w:vAlign w:val="center"/>
                </w:tcPr>
                <w:p w14:paraId="24435538">
                  <w:pPr>
                    <w:pStyle w:val="68"/>
                    <w:rPr>
                      <w:rFonts w:hint="default" w:eastAsia="宋体"/>
                      <w:color w:val="auto"/>
                      <w:lang w:val="en-US" w:eastAsia="zh-CN"/>
                    </w:rPr>
                  </w:pPr>
                  <w:r>
                    <w:rPr>
                      <w:rFonts w:hint="eastAsia"/>
                      <w:color w:val="auto"/>
                      <w:lang w:val="en-US" w:eastAsia="zh-CN"/>
                    </w:rPr>
                    <w:t>监测频次</w:t>
                  </w:r>
                </w:p>
              </w:tc>
              <w:tc>
                <w:tcPr>
                  <w:tcW w:w="1073" w:type="pct"/>
                  <w:tcMar>
                    <w:left w:w="0" w:type="dxa"/>
                    <w:right w:w="0" w:type="dxa"/>
                  </w:tcMar>
                  <w:vAlign w:val="center"/>
                </w:tcPr>
                <w:p w14:paraId="4F8DE180">
                  <w:pPr>
                    <w:pStyle w:val="68"/>
                    <w:rPr>
                      <w:rFonts w:hint="default" w:eastAsia="宋体"/>
                      <w:color w:val="auto"/>
                      <w:lang w:val="en-US" w:eastAsia="zh-CN"/>
                    </w:rPr>
                  </w:pPr>
                  <w:r>
                    <w:rPr>
                      <w:rFonts w:hint="eastAsia"/>
                      <w:color w:val="auto"/>
                      <w:lang w:val="en-US" w:eastAsia="zh-CN"/>
                    </w:rPr>
                    <w:t>执行标准</w:t>
                  </w:r>
                </w:p>
              </w:tc>
            </w:tr>
            <w:tr w14:paraId="0C92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788" w:type="pct"/>
                  <w:tcMar>
                    <w:left w:w="0" w:type="dxa"/>
                    <w:right w:w="0" w:type="dxa"/>
                  </w:tcMar>
                  <w:vAlign w:val="center"/>
                </w:tcPr>
                <w:p w14:paraId="1150D7D8">
                  <w:pPr>
                    <w:pStyle w:val="68"/>
                    <w:rPr>
                      <w:rFonts w:hint="default" w:eastAsia="宋体"/>
                      <w:color w:val="auto"/>
                      <w:kern w:val="0"/>
                      <w:lang w:val="en-US" w:eastAsia="zh-CN"/>
                    </w:rPr>
                  </w:pPr>
                  <w:r>
                    <w:rPr>
                      <w:rFonts w:hint="eastAsia"/>
                      <w:color w:val="auto"/>
                      <w:lang w:val="en-US" w:eastAsia="zh-CN"/>
                    </w:rPr>
                    <w:t>噪声监测</w:t>
                  </w:r>
                </w:p>
              </w:tc>
              <w:tc>
                <w:tcPr>
                  <w:tcW w:w="991" w:type="pct"/>
                  <w:tcMar>
                    <w:left w:w="0" w:type="dxa"/>
                    <w:right w:w="0" w:type="dxa"/>
                  </w:tcMar>
                  <w:vAlign w:val="center"/>
                </w:tcPr>
                <w:p w14:paraId="38B1D922">
                  <w:pPr>
                    <w:pStyle w:val="68"/>
                    <w:rPr>
                      <w:rFonts w:ascii="宋体" w:hAnsi="宋体" w:cs="宋体"/>
                      <w:color w:val="auto"/>
                      <w:lang w:bidi="zh-CN"/>
                    </w:rPr>
                  </w:pPr>
                  <w:r>
                    <w:rPr>
                      <w:rFonts w:hint="eastAsia"/>
                      <w:color w:val="auto"/>
                      <w:lang w:bidi="zh-CN"/>
                    </w:rPr>
                    <w:t>等效连续A</w:t>
                  </w:r>
                  <w:r>
                    <w:rPr>
                      <w:rFonts w:hint="eastAsia"/>
                      <w:bCs/>
                      <w:color w:val="auto"/>
                      <w:lang w:bidi="zh-CN"/>
                    </w:rPr>
                    <w:t>声级</w:t>
                  </w:r>
                  <w:r>
                    <w:rPr>
                      <w:color w:val="auto"/>
                      <w:lang w:bidi="zh-CN"/>
                    </w:rPr>
                    <w:t>（Leq(A)）</w:t>
                  </w:r>
                </w:p>
              </w:tc>
              <w:tc>
                <w:tcPr>
                  <w:tcW w:w="1072" w:type="pct"/>
                  <w:tcMar>
                    <w:left w:w="0" w:type="dxa"/>
                    <w:right w:w="0" w:type="dxa"/>
                  </w:tcMar>
                  <w:vAlign w:val="center"/>
                </w:tcPr>
                <w:p w14:paraId="5F568C78">
                  <w:pPr>
                    <w:pStyle w:val="68"/>
                    <w:rPr>
                      <w:rFonts w:hint="default" w:ascii="宋体" w:hAnsi="宋体" w:cs="宋体"/>
                      <w:color w:val="auto"/>
                      <w:lang w:val="en-US" w:bidi="zh-CN"/>
                    </w:rPr>
                  </w:pPr>
                  <w:r>
                    <w:rPr>
                      <w:rFonts w:hint="eastAsia"/>
                      <w:color w:val="auto"/>
                      <w:lang w:val="en-US" w:bidi="zh-CN"/>
                    </w:rPr>
                    <w:t>项目区外东南西北侧各设1个监测点</w:t>
                  </w:r>
                </w:p>
              </w:tc>
              <w:tc>
                <w:tcPr>
                  <w:tcW w:w="1073" w:type="pct"/>
                  <w:tcMar>
                    <w:left w:w="0" w:type="dxa"/>
                    <w:right w:w="0" w:type="dxa"/>
                  </w:tcMar>
                  <w:vAlign w:val="center"/>
                </w:tcPr>
                <w:p w14:paraId="46B66622">
                  <w:pPr>
                    <w:pStyle w:val="68"/>
                    <w:rPr>
                      <w:bCs/>
                      <w:color w:val="auto"/>
                      <w:lang w:bidi="zh-CN"/>
                    </w:rPr>
                  </w:pPr>
                  <w:r>
                    <w:rPr>
                      <w:rFonts w:hint="eastAsia"/>
                      <w:color w:val="auto"/>
                      <w:lang w:bidi="zh-CN"/>
                    </w:rPr>
                    <w:t>1</w:t>
                  </w:r>
                  <w:r>
                    <w:rPr>
                      <w:color w:val="auto"/>
                      <w:lang w:bidi="zh-CN"/>
                    </w:rPr>
                    <w:t>次</w:t>
                  </w:r>
                  <w:r>
                    <w:rPr>
                      <w:rFonts w:hint="eastAsia"/>
                      <w:color w:val="auto"/>
                      <w:lang w:bidi="zh-CN"/>
                    </w:rPr>
                    <w:t>/季度</w:t>
                  </w:r>
                </w:p>
              </w:tc>
              <w:tc>
                <w:tcPr>
                  <w:tcW w:w="1073" w:type="pct"/>
                  <w:tcMar>
                    <w:left w:w="0" w:type="dxa"/>
                    <w:right w:w="0" w:type="dxa"/>
                  </w:tcMar>
                  <w:vAlign w:val="center"/>
                </w:tcPr>
                <w:p w14:paraId="48DEB82A">
                  <w:pPr>
                    <w:pStyle w:val="68"/>
                    <w:rPr>
                      <w:bCs/>
                      <w:color w:val="auto"/>
                      <w:lang w:bidi="zh-CN"/>
                    </w:rPr>
                  </w:pPr>
                  <w:r>
                    <w:rPr>
                      <w:bCs/>
                      <w:color w:val="auto"/>
                      <w:lang w:bidi="zh-CN"/>
                    </w:rPr>
                    <w:t>《工业企业厂界环境噪声排放标准》（GB 12348-2008）</w:t>
                  </w:r>
                  <w:r>
                    <w:rPr>
                      <w:rFonts w:hint="eastAsia"/>
                      <w:bCs/>
                      <w:color w:val="auto"/>
                      <w:lang w:val="en-US" w:eastAsia="zh-CN" w:bidi="zh-CN"/>
                    </w:rPr>
                    <w:t>3</w:t>
                  </w:r>
                  <w:r>
                    <w:rPr>
                      <w:bCs/>
                      <w:color w:val="auto"/>
                      <w:lang w:bidi="zh-CN"/>
                    </w:rPr>
                    <w:t>类标准</w:t>
                  </w:r>
                </w:p>
              </w:tc>
            </w:tr>
          </w:tbl>
          <w:p w14:paraId="7EABC93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both"/>
              <w:textAlignment w:val="auto"/>
              <w:outlineLvl w:val="0"/>
              <w:rPr>
                <w:rFonts w:hint="default" w:ascii="Times New Roman" w:hAnsi="Times New Roman" w:cs="Times New Roman"/>
                <w:color w:val="auto"/>
                <w:sz w:val="24"/>
                <w:lang w:val="en-US" w:eastAsia="zh-CN"/>
              </w:rPr>
            </w:pPr>
            <w:r>
              <w:rPr>
                <w:rFonts w:hint="eastAsia" w:ascii="Times New Roman" w:hAnsi="Times New Roman" w:cs="Times New Roman"/>
                <w:b/>
                <w:bCs/>
                <w:color w:val="auto"/>
                <w:kern w:val="44"/>
                <w:sz w:val="24"/>
                <w:szCs w:val="24"/>
                <w:highlight w:val="none"/>
                <w:lang w:val="en-US" w:eastAsia="zh-CN"/>
              </w:rPr>
              <w:t>四、固废环境影响分析及防治措施</w:t>
            </w:r>
          </w:p>
          <w:p w14:paraId="6645C2FC">
            <w:pPr>
              <w:tabs>
                <w:tab w:val="left" w:pos="2760"/>
              </w:tabs>
              <w:autoSpaceDE w:val="0"/>
              <w:autoSpaceDN w:val="0"/>
              <w:adjustRightInd w:val="0"/>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汽车拆解由于其行业特征的原因，产生大量的固体废弃物。其中大部分以目前的技术经济水平是可以利用的，少部分固体由于处理成本较高，目前回收利用不经济，还有少部分是危险固体废弃物，需要委托有相关资质的单位进行处理。</w:t>
            </w:r>
          </w:p>
          <w:p w14:paraId="742798EA">
            <w:pPr>
              <w:pStyle w:val="36"/>
              <w:numPr>
                <w:ilvl w:val="0"/>
                <w:numId w:val="0"/>
              </w:numPr>
              <w:spacing w:line="360" w:lineRule="auto"/>
              <w:rPr>
                <w:rFonts w:hint="default" w:ascii="Times New Roman" w:hAnsi="Times New Roman" w:eastAsia="宋体" w:cs="Times New Roman"/>
                <w:b/>
                <w:bCs/>
                <w:color w:val="auto"/>
                <w:kern w:val="44"/>
                <w:sz w:val="24"/>
                <w:szCs w:val="24"/>
                <w:highlight w:val="none"/>
                <w:lang w:val="en-US" w:eastAsia="zh-CN" w:bidi="ar-SA"/>
              </w:rPr>
            </w:pPr>
            <w:r>
              <w:rPr>
                <w:rFonts w:hint="eastAsia" w:ascii="Times New Roman" w:hAnsi="Times New Roman" w:eastAsia="宋体" w:cs="Times New Roman"/>
                <w:b/>
                <w:bCs/>
                <w:color w:val="auto"/>
                <w:kern w:val="44"/>
                <w:sz w:val="24"/>
                <w:szCs w:val="24"/>
                <w:highlight w:val="none"/>
                <w:lang w:val="en-US" w:eastAsia="zh-CN" w:bidi="ar-SA"/>
              </w:rPr>
              <w:t>1</w:t>
            </w:r>
            <w:r>
              <w:rPr>
                <w:rFonts w:hint="eastAsia" w:ascii="Times New Roman" w:hAnsi="Times New Roman" w:cs="Times New Roman"/>
                <w:b/>
                <w:bCs/>
                <w:color w:val="auto"/>
                <w:kern w:val="44"/>
                <w:sz w:val="24"/>
                <w:szCs w:val="24"/>
                <w:highlight w:val="none"/>
                <w:lang w:val="en-US" w:eastAsia="zh-CN" w:bidi="ar-SA"/>
              </w:rPr>
              <w:t>、本项目产生的固体废弃物</w:t>
            </w:r>
          </w:p>
          <w:p w14:paraId="1C0D7E5E">
            <w:pPr>
              <w:tabs>
                <w:tab w:val="left" w:pos="2760"/>
              </w:tabs>
              <w:autoSpaceDE w:val="0"/>
              <w:autoSpaceDN w:val="0"/>
              <w:adjustRightIn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（1）一般工业固废，一类为可以回收利用的，如钢铁、废油箱、有色金属、塑料、橡胶等；另一类为无法分离回收利用的，如：皮制品、玻璃，引爆后的安全气囊等，无回收利用价值。</w:t>
            </w:r>
          </w:p>
          <w:p w14:paraId="4C57D20F">
            <w:pPr>
              <w:tabs>
                <w:tab w:val="left" w:pos="2760"/>
              </w:tabs>
              <w:autoSpaceDE w:val="0"/>
              <w:autoSpaceDN w:val="0"/>
              <w:adjustRightIn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（2）危险废物：对照《国家危险废物名录》，本项目产生的工业有害废物主要有：废蓄电池、废油液、废尾气净化催化剂、制冷剂、废线路板及电子元器件、含多氯联苯的电容器、废活性炭、抹布、手套等。</w:t>
            </w:r>
          </w:p>
          <w:p w14:paraId="4D7997EE">
            <w:pPr>
              <w:tabs>
                <w:tab w:val="left" w:pos="2760"/>
              </w:tabs>
              <w:autoSpaceDE w:val="0"/>
              <w:autoSpaceDN w:val="0"/>
              <w:adjustRightIn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①</w:t>
            </w:r>
            <w:r>
              <w:rPr>
                <w:rFonts w:hint="eastAsia" w:ascii="Times New Roman" w:hAnsi="Times New Roman" w:cs="Times New Roman"/>
                <w:color w:val="auto"/>
                <w:sz w:val="24"/>
                <w:lang w:val="en-US" w:eastAsia="zh-CN"/>
              </w:rPr>
              <w:t>本项目生产过程中有沾有润滑油的抹布、手套等产生，根据《国家危险废物名录》（2025年版），沾有机油的抹布、手套的废物类别HW49（代码900-041-49），产生量约为0.2t/a。经统一收集后交由有资质单位处置。</w:t>
            </w:r>
          </w:p>
          <w:p w14:paraId="13352F81">
            <w:pPr>
              <w:tabs>
                <w:tab w:val="left" w:pos="2760"/>
              </w:tabs>
              <w:autoSpaceDE w:val="0"/>
              <w:autoSpaceDN w:val="0"/>
              <w:adjustRightIn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②</w:t>
            </w:r>
            <w:r>
              <w:rPr>
                <w:rFonts w:hint="eastAsia" w:cs="Times New Roman"/>
                <w:color w:val="auto"/>
                <w:sz w:val="24"/>
                <w:lang w:val="en-US" w:eastAsia="zh-CN"/>
              </w:rPr>
              <w:t>本项目有机废气利用活性炭吸附，为保持处理效率，需定期更换，根据《简明通风设计手册》有效吸附量qe=0.24kg/kg，本项目按照保守估算，1kg活性炭吸附0.2kg有机废气，本项目污染防治措施去除有机废气约为0.00176t/a，消耗活性炭0.0088t/a，产生废活性炭约0.0088t/a，属于“</w:t>
            </w:r>
            <w:r>
              <w:rPr>
                <w:rFonts w:hint="eastAsia" w:ascii="Times New Roman" w:hAnsi="Times New Roman" w:cs="Times New Roman"/>
                <w:color w:val="auto"/>
                <w:sz w:val="24"/>
                <w:lang w:val="en-US" w:eastAsia="zh-CN"/>
              </w:rPr>
              <w:t>HW49</w:t>
            </w:r>
            <w:r>
              <w:rPr>
                <w:rFonts w:hint="eastAsia" w:cs="Times New Roman"/>
                <w:color w:val="auto"/>
                <w:sz w:val="24"/>
                <w:lang w:val="en-US" w:eastAsia="zh-CN"/>
              </w:rPr>
              <w:t>其他废物”</w:t>
            </w:r>
            <w:r>
              <w:rPr>
                <w:rFonts w:hint="eastAsia" w:ascii="Times New Roman" w:hAnsi="Times New Roman" w:cs="Times New Roman"/>
                <w:color w:val="auto"/>
                <w:sz w:val="24"/>
                <w:lang w:val="en-US" w:eastAsia="zh-CN"/>
              </w:rPr>
              <w:t>代码900-0</w:t>
            </w:r>
            <w:r>
              <w:rPr>
                <w:rFonts w:hint="eastAsia" w:cs="Times New Roman"/>
                <w:color w:val="auto"/>
                <w:sz w:val="24"/>
                <w:lang w:val="en-US" w:eastAsia="zh-CN"/>
              </w:rPr>
              <w:t>39</w:t>
            </w:r>
            <w:r>
              <w:rPr>
                <w:rFonts w:hint="eastAsia" w:ascii="Times New Roman" w:hAnsi="Times New Roman" w:cs="Times New Roman"/>
                <w:color w:val="auto"/>
                <w:sz w:val="24"/>
                <w:lang w:val="en-US" w:eastAsia="zh-CN"/>
              </w:rPr>
              <w:t>-49</w:t>
            </w:r>
            <w:r>
              <w:rPr>
                <w:rFonts w:hint="eastAsia" w:cs="Times New Roman"/>
                <w:color w:val="auto"/>
                <w:sz w:val="24"/>
                <w:lang w:val="en-US" w:eastAsia="zh-CN"/>
              </w:rPr>
              <w:t>，本项目产生的废活性炭交由有资质的单位收集处理。</w:t>
            </w:r>
          </w:p>
          <w:p w14:paraId="1BF1F2AC">
            <w:pPr>
              <w:pStyle w:val="36"/>
              <w:numPr>
                <w:ilvl w:val="0"/>
                <w:numId w:val="0"/>
              </w:numPr>
              <w:spacing w:line="360" w:lineRule="auto"/>
              <w:ind w:firstLine="480" w:firstLineChars="200"/>
              <w:rPr>
                <w:rFonts w:hint="eastAsia"/>
                <w:lang w:val="en-US" w:eastAsia="zh-CN"/>
              </w:rPr>
            </w:pPr>
            <w:r>
              <w:rPr>
                <w:rFonts w:hint="eastAsia"/>
                <w:lang w:val="en-US" w:eastAsia="zh-CN"/>
              </w:rPr>
              <w:t>（3）生活垃圾：本项目劳动定员7人，人均生活垃圾的产生量按照1.0kg/d计算，全年工作天数为300天，则生活垃圾的产生量为2.1t/a，生活垃圾收集后暂存在垃圾箱中，定期拉运至附近的生活垃圾集中收集点，由环卫部门定期统一清运至68团生活垃圾填埋场。</w:t>
            </w:r>
          </w:p>
          <w:p w14:paraId="089C74D2">
            <w:pPr>
              <w:jc w:val="both"/>
              <w:rPr>
                <w:rFonts w:hint="default"/>
                <w:b/>
                <w:color w:val="auto"/>
                <w:sz w:val="24"/>
                <w:lang w:val="en-US" w:eastAsia="zh-CN"/>
              </w:rPr>
            </w:pPr>
            <w:r>
              <w:rPr>
                <w:rFonts w:hint="eastAsia"/>
                <w:b/>
                <w:color w:val="auto"/>
                <w:sz w:val="24"/>
                <w:lang w:val="en-US" w:eastAsia="zh-CN"/>
              </w:rPr>
              <w:t>表4-13        项目固体废物分析结果汇总表</w:t>
            </w:r>
          </w:p>
          <w:tbl>
            <w:tblPr>
              <w:tblStyle w:val="29"/>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037"/>
              <w:gridCol w:w="1037"/>
              <w:gridCol w:w="1077"/>
              <w:gridCol w:w="1014"/>
              <w:gridCol w:w="1059"/>
              <w:gridCol w:w="1288"/>
              <w:gridCol w:w="1166"/>
            </w:tblGrid>
            <w:tr w14:paraId="4A80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9" w:type="dxa"/>
                  <w:gridSpan w:val="2"/>
                  <w:vAlign w:val="center"/>
                </w:tcPr>
                <w:p w14:paraId="61A9F29C">
                  <w:pPr>
                    <w:pStyle w:val="68"/>
                    <w:jc w:val="center"/>
                    <w:rPr>
                      <w:rFonts w:hint="default"/>
                      <w:color w:val="auto"/>
                      <w:lang w:val="en-US" w:eastAsia="zh-CN"/>
                    </w:rPr>
                  </w:pPr>
                  <w:r>
                    <w:rPr>
                      <w:rFonts w:hint="eastAsia"/>
                      <w:color w:val="auto"/>
                      <w:lang w:val="en-US" w:eastAsia="zh-CN"/>
                    </w:rPr>
                    <w:t>类型</w:t>
                  </w:r>
                </w:p>
              </w:tc>
              <w:tc>
                <w:tcPr>
                  <w:tcW w:w="1037" w:type="dxa"/>
                  <w:vAlign w:val="center"/>
                </w:tcPr>
                <w:p w14:paraId="5182C2BF">
                  <w:pPr>
                    <w:pStyle w:val="68"/>
                    <w:jc w:val="center"/>
                    <w:rPr>
                      <w:rFonts w:hint="default"/>
                      <w:color w:val="auto"/>
                      <w:lang w:val="en-US" w:eastAsia="zh-CN"/>
                    </w:rPr>
                  </w:pPr>
                  <w:r>
                    <w:rPr>
                      <w:rFonts w:hint="eastAsia"/>
                      <w:color w:val="auto"/>
                      <w:lang w:val="en-US" w:eastAsia="zh-CN"/>
                    </w:rPr>
                    <w:t>名称</w:t>
                  </w:r>
                </w:p>
              </w:tc>
              <w:tc>
                <w:tcPr>
                  <w:tcW w:w="1077" w:type="dxa"/>
                  <w:vAlign w:val="center"/>
                </w:tcPr>
                <w:p w14:paraId="60E5125C">
                  <w:pPr>
                    <w:pStyle w:val="68"/>
                    <w:jc w:val="center"/>
                    <w:rPr>
                      <w:rFonts w:hint="default"/>
                      <w:color w:val="auto"/>
                      <w:lang w:val="en-US" w:eastAsia="zh-CN"/>
                    </w:rPr>
                  </w:pPr>
                  <w:r>
                    <w:rPr>
                      <w:rFonts w:hint="eastAsia"/>
                      <w:color w:val="auto"/>
                      <w:lang w:val="en-US" w:eastAsia="zh-CN"/>
                    </w:rPr>
                    <w:t>数量t/a</w:t>
                  </w:r>
                </w:p>
              </w:tc>
              <w:tc>
                <w:tcPr>
                  <w:tcW w:w="1014" w:type="dxa"/>
                  <w:vAlign w:val="center"/>
                </w:tcPr>
                <w:p w14:paraId="25ACA91C">
                  <w:pPr>
                    <w:pStyle w:val="68"/>
                    <w:jc w:val="center"/>
                    <w:rPr>
                      <w:rFonts w:hint="default"/>
                      <w:color w:val="auto"/>
                      <w:lang w:val="en-US" w:eastAsia="zh-CN"/>
                    </w:rPr>
                  </w:pPr>
                  <w:r>
                    <w:rPr>
                      <w:rFonts w:hint="eastAsia"/>
                      <w:color w:val="auto"/>
                      <w:lang w:val="en-US" w:eastAsia="zh-CN"/>
                    </w:rPr>
                    <w:t>性状</w:t>
                  </w:r>
                </w:p>
              </w:tc>
              <w:tc>
                <w:tcPr>
                  <w:tcW w:w="1059" w:type="dxa"/>
                  <w:vAlign w:val="center"/>
                </w:tcPr>
                <w:p w14:paraId="18D496FD">
                  <w:pPr>
                    <w:pStyle w:val="68"/>
                    <w:jc w:val="center"/>
                    <w:rPr>
                      <w:rFonts w:hint="default"/>
                      <w:color w:val="auto"/>
                      <w:lang w:val="en-US" w:eastAsia="zh-CN"/>
                    </w:rPr>
                  </w:pPr>
                  <w:r>
                    <w:rPr>
                      <w:rFonts w:hint="eastAsia"/>
                      <w:color w:val="auto"/>
                      <w:lang w:val="en-US" w:eastAsia="zh-CN"/>
                    </w:rPr>
                    <w:t>危废类别</w:t>
                  </w:r>
                </w:p>
              </w:tc>
              <w:tc>
                <w:tcPr>
                  <w:tcW w:w="1288" w:type="dxa"/>
                  <w:vAlign w:val="center"/>
                </w:tcPr>
                <w:p w14:paraId="1E031582">
                  <w:pPr>
                    <w:pStyle w:val="68"/>
                    <w:jc w:val="center"/>
                    <w:rPr>
                      <w:rFonts w:hint="default"/>
                      <w:color w:val="auto"/>
                      <w:lang w:val="en-US" w:eastAsia="zh-CN"/>
                    </w:rPr>
                  </w:pPr>
                  <w:r>
                    <w:rPr>
                      <w:rFonts w:hint="eastAsia"/>
                      <w:color w:val="auto"/>
                      <w:lang w:val="en-US" w:eastAsia="zh-CN"/>
                    </w:rPr>
                    <w:t>危废代码</w:t>
                  </w:r>
                </w:p>
              </w:tc>
              <w:tc>
                <w:tcPr>
                  <w:tcW w:w="1166" w:type="dxa"/>
                  <w:vAlign w:val="center"/>
                </w:tcPr>
                <w:p w14:paraId="4E1411F0">
                  <w:pPr>
                    <w:pStyle w:val="68"/>
                    <w:jc w:val="center"/>
                    <w:rPr>
                      <w:rFonts w:hint="default"/>
                      <w:color w:val="auto"/>
                      <w:lang w:val="en-US" w:eastAsia="zh-CN"/>
                    </w:rPr>
                  </w:pPr>
                  <w:r>
                    <w:rPr>
                      <w:rFonts w:hint="eastAsia"/>
                      <w:color w:val="auto"/>
                      <w:lang w:val="en-US" w:eastAsia="zh-CN"/>
                    </w:rPr>
                    <w:t>处置方式</w:t>
                  </w:r>
                </w:p>
              </w:tc>
            </w:tr>
            <w:tr w14:paraId="2B9D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restart"/>
                  <w:vAlign w:val="center"/>
                </w:tcPr>
                <w:p w14:paraId="37314888">
                  <w:pPr>
                    <w:pStyle w:val="68"/>
                    <w:jc w:val="center"/>
                    <w:rPr>
                      <w:rFonts w:hint="default"/>
                      <w:color w:val="auto"/>
                      <w:lang w:val="en-US" w:eastAsia="zh-CN"/>
                    </w:rPr>
                  </w:pPr>
                  <w:r>
                    <w:rPr>
                      <w:rFonts w:hint="eastAsia"/>
                      <w:color w:val="auto"/>
                      <w:lang w:val="en-US" w:eastAsia="zh-CN"/>
                    </w:rPr>
                    <w:t>一般工业废物</w:t>
                  </w:r>
                </w:p>
              </w:tc>
              <w:tc>
                <w:tcPr>
                  <w:tcW w:w="1037" w:type="dxa"/>
                  <w:vMerge w:val="restart"/>
                  <w:vAlign w:val="center"/>
                </w:tcPr>
                <w:p w14:paraId="5B9BA0CF">
                  <w:pPr>
                    <w:pStyle w:val="68"/>
                    <w:jc w:val="center"/>
                    <w:rPr>
                      <w:rFonts w:hint="default"/>
                      <w:color w:val="auto"/>
                      <w:lang w:val="en-US" w:eastAsia="zh-CN"/>
                    </w:rPr>
                  </w:pPr>
                  <w:r>
                    <w:rPr>
                      <w:rFonts w:hint="eastAsia"/>
                      <w:color w:val="auto"/>
                      <w:lang w:val="en-US" w:eastAsia="zh-CN"/>
                    </w:rPr>
                    <w:t>可利用部分（作为产品）</w:t>
                  </w:r>
                </w:p>
              </w:tc>
              <w:tc>
                <w:tcPr>
                  <w:tcW w:w="1037" w:type="dxa"/>
                  <w:vAlign w:val="center"/>
                </w:tcPr>
                <w:p w14:paraId="2128B36F">
                  <w:pPr>
                    <w:pStyle w:val="68"/>
                    <w:jc w:val="center"/>
                    <w:rPr>
                      <w:rFonts w:hint="default"/>
                      <w:color w:val="auto"/>
                      <w:lang w:val="en-US" w:eastAsia="zh-CN"/>
                    </w:rPr>
                  </w:pPr>
                  <w:r>
                    <w:rPr>
                      <w:rFonts w:hint="eastAsia"/>
                      <w:color w:val="auto"/>
                      <w:lang w:val="en-US" w:eastAsia="zh-CN"/>
                    </w:rPr>
                    <w:t>钢铁</w:t>
                  </w:r>
                </w:p>
              </w:tc>
              <w:tc>
                <w:tcPr>
                  <w:tcW w:w="1077" w:type="dxa"/>
                  <w:vAlign w:val="center"/>
                </w:tcPr>
                <w:p w14:paraId="7AC96E80">
                  <w:pPr>
                    <w:pStyle w:val="68"/>
                    <w:jc w:val="center"/>
                    <w:rPr>
                      <w:rFonts w:hint="default"/>
                      <w:color w:val="auto"/>
                      <w:lang w:val="en-US" w:eastAsia="zh-CN"/>
                    </w:rPr>
                  </w:pPr>
                  <w:r>
                    <w:rPr>
                      <w:rFonts w:hint="eastAsia"/>
                      <w:color w:val="auto"/>
                      <w:lang w:val="en-US" w:eastAsia="zh-CN"/>
                    </w:rPr>
                    <w:t>6823</w:t>
                  </w:r>
                </w:p>
              </w:tc>
              <w:tc>
                <w:tcPr>
                  <w:tcW w:w="1014" w:type="dxa"/>
                  <w:vAlign w:val="center"/>
                </w:tcPr>
                <w:p w14:paraId="134B0E6E">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09CC411D">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44A2CD1E">
                  <w:pPr>
                    <w:pStyle w:val="68"/>
                    <w:jc w:val="center"/>
                    <w:rPr>
                      <w:rFonts w:hint="default"/>
                      <w:color w:val="auto"/>
                      <w:lang w:val="en-US" w:eastAsia="zh-CN"/>
                    </w:rPr>
                  </w:pPr>
                  <w:r>
                    <w:rPr>
                      <w:rFonts w:hint="eastAsia"/>
                      <w:color w:val="auto"/>
                      <w:lang w:val="en-US" w:eastAsia="zh-CN"/>
                    </w:rPr>
                    <w:t>/</w:t>
                  </w:r>
                </w:p>
              </w:tc>
              <w:tc>
                <w:tcPr>
                  <w:tcW w:w="1166" w:type="dxa"/>
                  <w:vMerge w:val="restart"/>
                  <w:vAlign w:val="center"/>
                </w:tcPr>
                <w:p w14:paraId="73FBCAC9">
                  <w:pPr>
                    <w:pStyle w:val="68"/>
                    <w:jc w:val="center"/>
                    <w:rPr>
                      <w:rFonts w:hint="default"/>
                      <w:color w:val="auto"/>
                      <w:lang w:val="en-US" w:eastAsia="zh-CN"/>
                    </w:rPr>
                  </w:pPr>
                  <w:r>
                    <w:rPr>
                      <w:rFonts w:hint="default"/>
                      <w:color w:val="auto"/>
                      <w:lang w:val="en-US" w:eastAsia="zh-CN"/>
                    </w:rPr>
                    <w:t>暂存于厂区内一般固废场地，后出售给相关物资回收单位回收利用</w:t>
                  </w:r>
                </w:p>
              </w:tc>
            </w:tr>
            <w:tr w14:paraId="5D7D8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3D5C8400">
                  <w:pPr>
                    <w:pStyle w:val="68"/>
                    <w:jc w:val="center"/>
                    <w:rPr>
                      <w:rFonts w:hint="default"/>
                      <w:color w:val="auto"/>
                      <w:lang w:val="en-US" w:eastAsia="zh-CN"/>
                    </w:rPr>
                  </w:pPr>
                </w:p>
              </w:tc>
              <w:tc>
                <w:tcPr>
                  <w:tcW w:w="1037" w:type="dxa"/>
                  <w:vMerge w:val="continue"/>
                  <w:vAlign w:val="center"/>
                </w:tcPr>
                <w:p w14:paraId="40860645">
                  <w:pPr>
                    <w:pStyle w:val="68"/>
                    <w:jc w:val="center"/>
                    <w:rPr>
                      <w:rFonts w:hint="default"/>
                      <w:color w:val="auto"/>
                      <w:lang w:val="en-US" w:eastAsia="zh-CN"/>
                    </w:rPr>
                  </w:pPr>
                </w:p>
              </w:tc>
              <w:tc>
                <w:tcPr>
                  <w:tcW w:w="1037" w:type="dxa"/>
                  <w:vAlign w:val="center"/>
                </w:tcPr>
                <w:p w14:paraId="3A64129F">
                  <w:pPr>
                    <w:pStyle w:val="68"/>
                    <w:jc w:val="center"/>
                    <w:rPr>
                      <w:rFonts w:hint="default"/>
                      <w:color w:val="auto"/>
                      <w:lang w:val="en-US" w:eastAsia="zh-CN"/>
                    </w:rPr>
                  </w:pPr>
                  <w:r>
                    <w:rPr>
                      <w:rFonts w:hint="eastAsia"/>
                      <w:color w:val="auto"/>
                      <w:lang w:val="en-US" w:eastAsia="zh-CN"/>
                    </w:rPr>
                    <w:t>有色金属</w:t>
                  </w:r>
                </w:p>
              </w:tc>
              <w:tc>
                <w:tcPr>
                  <w:tcW w:w="1077" w:type="dxa"/>
                  <w:vAlign w:val="center"/>
                </w:tcPr>
                <w:p w14:paraId="02B1456A">
                  <w:pPr>
                    <w:pStyle w:val="68"/>
                    <w:jc w:val="center"/>
                    <w:rPr>
                      <w:rFonts w:hint="default"/>
                      <w:color w:val="auto"/>
                      <w:lang w:val="en-US" w:eastAsia="zh-CN"/>
                    </w:rPr>
                  </w:pPr>
                  <w:r>
                    <w:rPr>
                      <w:rFonts w:hint="eastAsia"/>
                      <w:color w:val="auto"/>
                      <w:lang w:val="en-US" w:eastAsia="zh-CN"/>
                    </w:rPr>
                    <w:t>533.75</w:t>
                  </w:r>
                </w:p>
              </w:tc>
              <w:tc>
                <w:tcPr>
                  <w:tcW w:w="1014" w:type="dxa"/>
                  <w:vAlign w:val="center"/>
                </w:tcPr>
                <w:p w14:paraId="747A26E7">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3D371880">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3F1D7F06">
                  <w:pPr>
                    <w:pStyle w:val="68"/>
                    <w:jc w:val="center"/>
                    <w:rPr>
                      <w:rFonts w:hint="default"/>
                      <w:color w:val="auto"/>
                      <w:lang w:val="en-US" w:eastAsia="zh-CN"/>
                    </w:rPr>
                  </w:pPr>
                  <w:r>
                    <w:rPr>
                      <w:rFonts w:hint="eastAsia"/>
                      <w:color w:val="auto"/>
                      <w:lang w:val="en-US" w:eastAsia="zh-CN"/>
                    </w:rPr>
                    <w:t>/</w:t>
                  </w:r>
                </w:p>
              </w:tc>
              <w:tc>
                <w:tcPr>
                  <w:tcW w:w="1166" w:type="dxa"/>
                  <w:vMerge w:val="continue"/>
                  <w:vAlign w:val="center"/>
                </w:tcPr>
                <w:p w14:paraId="7F29AA68">
                  <w:pPr>
                    <w:pStyle w:val="68"/>
                    <w:jc w:val="center"/>
                    <w:rPr>
                      <w:rFonts w:hint="default"/>
                      <w:color w:val="auto"/>
                      <w:lang w:val="en-US" w:eastAsia="zh-CN"/>
                    </w:rPr>
                  </w:pPr>
                </w:p>
              </w:tc>
            </w:tr>
            <w:tr w14:paraId="72FF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18683409">
                  <w:pPr>
                    <w:pStyle w:val="68"/>
                    <w:jc w:val="center"/>
                    <w:rPr>
                      <w:rFonts w:hint="default"/>
                      <w:color w:val="auto"/>
                      <w:lang w:val="en-US" w:eastAsia="zh-CN"/>
                    </w:rPr>
                  </w:pPr>
                </w:p>
              </w:tc>
              <w:tc>
                <w:tcPr>
                  <w:tcW w:w="1037" w:type="dxa"/>
                  <w:vMerge w:val="continue"/>
                  <w:vAlign w:val="center"/>
                </w:tcPr>
                <w:p w14:paraId="0F3B5579">
                  <w:pPr>
                    <w:pStyle w:val="68"/>
                    <w:jc w:val="center"/>
                    <w:rPr>
                      <w:rFonts w:hint="default"/>
                      <w:color w:val="auto"/>
                      <w:lang w:val="en-US" w:eastAsia="zh-CN"/>
                    </w:rPr>
                  </w:pPr>
                </w:p>
              </w:tc>
              <w:tc>
                <w:tcPr>
                  <w:tcW w:w="1037" w:type="dxa"/>
                  <w:vAlign w:val="center"/>
                </w:tcPr>
                <w:p w14:paraId="4E4BB836">
                  <w:pPr>
                    <w:pStyle w:val="68"/>
                    <w:jc w:val="center"/>
                    <w:rPr>
                      <w:rFonts w:hint="default"/>
                      <w:color w:val="auto"/>
                      <w:lang w:val="en-US" w:eastAsia="zh-CN"/>
                    </w:rPr>
                  </w:pPr>
                  <w:r>
                    <w:rPr>
                      <w:rFonts w:hint="eastAsia"/>
                      <w:color w:val="auto"/>
                      <w:lang w:val="en-US" w:eastAsia="zh-CN"/>
                    </w:rPr>
                    <w:t>塑料</w:t>
                  </w:r>
                </w:p>
              </w:tc>
              <w:tc>
                <w:tcPr>
                  <w:tcW w:w="1077" w:type="dxa"/>
                  <w:vAlign w:val="center"/>
                </w:tcPr>
                <w:p w14:paraId="5DA0C2F9">
                  <w:pPr>
                    <w:pStyle w:val="68"/>
                    <w:jc w:val="center"/>
                    <w:rPr>
                      <w:rFonts w:hint="default"/>
                      <w:color w:val="auto"/>
                      <w:lang w:val="en-US" w:eastAsia="zh-CN"/>
                    </w:rPr>
                  </w:pPr>
                  <w:r>
                    <w:rPr>
                      <w:rFonts w:hint="eastAsia"/>
                      <w:color w:val="auto"/>
                      <w:lang w:val="en-US" w:eastAsia="zh-CN"/>
                    </w:rPr>
                    <w:t>206</w:t>
                  </w:r>
                </w:p>
              </w:tc>
              <w:tc>
                <w:tcPr>
                  <w:tcW w:w="1014" w:type="dxa"/>
                  <w:vAlign w:val="center"/>
                </w:tcPr>
                <w:p w14:paraId="585E6057">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6CBAFB55">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27958824">
                  <w:pPr>
                    <w:pStyle w:val="68"/>
                    <w:jc w:val="center"/>
                    <w:rPr>
                      <w:rFonts w:hint="default"/>
                      <w:color w:val="auto"/>
                      <w:lang w:val="en-US" w:eastAsia="zh-CN"/>
                    </w:rPr>
                  </w:pPr>
                  <w:r>
                    <w:rPr>
                      <w:rFonts w:hint="eastAsia"/>
                      <w:color w:val="auto"/>
                      <w:lang w:val="en-US" w:eastAsia="zh-CN"/>
                    </w:rPr>
                    <w:t>/</w:t>
                  </w:r>
                </w:p>
              </w:tc>
              <w:tc>
                <w:tcPr>
                  <w:tcW w:w="1166" w:type="dxa"/>
                  <w:vMerge w:val="continue"/>
                  <w:vAlign w:val="center"/>
                </w:tcPr>
                <w:p w14:paraId="3387E053">
                  <w:pPr>
                    <w:pStyle w:val="68"/>
                    <w:jc w:val="center"/>
                    <w:rPr>
                      <w:rFonts w:hint="default"/>
                      <w:color w:val="auto"/>
                      <w:lang w:val="en-US" w:eastAsia="zh-CN"/>
                    </w:rPr>
                  </w:pPr>
                </w:p>
              </w:tc>
            </w:tr>
            <w:tr w14:paraId="5C53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1494FEFE">
                  <w:pPr>
                    <w:pStyle w:val="68"/>
                    <w:jc w:val="center"/>
                    <w:rPr>
                      <w:rFonts w:hint="default"/>
                      <w:color w:val="auto"/>
                      <w:lang w:val="en-US" w:eastAsia="zh-CN"/>
                    </w:rPr>
                  </w:pPr>
                </w:p>
              </w:tc>
              <w:tc>
                <w:tcPr>
                  <w:tcW w:w="1037" w:type="dxa"/>
                  <w:vMerge w:val="continue"/>
                  <w:vAlign w:val="center"/>
                </w:tcPr>
                <w:p w14:paraId="0829E117">
                  <w:pPr>
                    <w:pStyle w:val="68"/>
                    <w:jc w:val="center"/>
                    <w:rPr>
                      <w:rFonts w:hint="default"/>
                      <w:color w:val="auto"/>
                      <w:lang w:val="en-US" w:eastAsia="zh-CN"/>
                    </w:rPr>
                  </w:pPr>
                </w:p>
              </w:tc>
              <w:tc>
                <w:tcPr>
                  <w:tcW w:w="1037" w:type="dxa"/>
                  <w:vAlign w:val="center"/>
                </w:tcPr>
                <w:p w14:paraId="6FF517C0">
                  <w:pPr>
                    <w:pStyle w:val="68"/>
                    <w:jc w:val="center"/>
                    <w:rPr>
                      <w:rFonts w:hint="default"/>
                      <w:color w:val="auto"/>
                      <w:lang w:val="en-US" w:eastAsia="zh-CN"/>
                    </w:rPr>
                  </w:pPr>
                  <w:r>
                    <w:rPr>
                      <w:rFonts w:hint="eastAsia"/>
                      <w:color w:val="auto"/>
                      <w:lang w:val="en-US" w:eastAsia="zh-CN"/>
                    </w:rPr>
                    <w:t>橡胶</w:t>
                  </w:r>
                </w:p>
              </w:tc>
              <w:tc>
                <w:tcPr>
                  <w:tcW w:w="1077" w:type="dxa"/>
                  <w:vAlign w:val="center"/>
                </w:tcPr>
                <w:p w14:paraId="2754741D">
                  <w:pPr>
                    <w:pStyle w:val="68"/>
                    <w:jc w:val="center"/>
                    <w:rPr>
                      <w:rFonts w:hint="default"/>
                      <w:color w:val="auto"/>
                      <w:lang w:val="en-US" w:eastAsia="zh-CN"/>
                    </w:rPr>
                  </w:pPr>
                  <w:r>
                    <w:rPr>
                      <w:rFonts w:hint="eastAsia"/>
                      <w:color w:val="auto"/>
                      <w:lang w:val="en-US" w:eastAsia="zh-CN"/>
                    </w:rPr>
                    <w:t>203.75</w:t>
                  </w:r>
                </w:p>
              </w:tc>
              <w:tc>
                <w:tcPr>
                  <w:tcW w:w="1014" w:type="dxa"/>
                  <w:vAlign w:val="center"/>
                </w:tcPr>
                <w:p w14:paraId="4F5C3480">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6966B039">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7B46C620">
                  <w:pPr>
                    <w:pStyle w:val="68"/>
                    <w:jc w:val="center"/>
                    <w:rPr>
                      <w:rFonts w:hint="default"/>
                      <w:color w:val="auto"/>
                      <w:lang w:val="en-US" w:eastAsia="zh-CN"/>
                    </w:rPr>
                  </w:pPr>
                  <w:r>
                    <w:rPr>
                      <w:rFonts w:hint="eastAsia"/>
                      <w:color w:val="auto"/>
                      <w:lang w:val="en-US" w:eastAsia="zh-CN"/>
                    </w:rPr>
                    <w:t>/</w:t>
                  </w:r>
                </w:p>
              </w:tc>
              <w:tc>
                <w:tcPr>
                  <w:tcW w:w="1166" w:type="dxa"/>
                  <w:vMerge w:val="continue"/>
                  <w:vAlign w:val="center"/>
                </w:tcPr>
                <w:p w14:paraId="4F18DD84">
                  <w:pPr>
                    <w:pStyle w:val="68"/>
                    <w:jc w:val="center"/>
                    <w:rPr>
                      <w:rFonts w:hint="default"/>
                      <w:color w:val="auto"/>
                      <w:lang w:val="en-US" w:eastAsia="zh-CN"/>
                    </w:rPr>
                  </w:pPr>
                </w:p>
              </w:tc>
            </w:tr>
            <w:tr w14:paraId="4DB5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65BA9181">
                  <w:pPr>
                    <w:pStyle w:val="68"/>
                    <w:jc w:val="center"/>
                    <w:rPr>
                      <w:rFonts w:hint="default"/>
                      <w:color w:val="auto"/>
                      <w:lang w:val="en-US" w:eastAsia="zh-CN"/>
                    </w:rPr>
                  </w:pPr>
                </w:p>
              </w:tc>
              <w:tc>
                <w:tcPr>
                  <w:tcW w:w="1037" w:type="dxa"/>
                  <w:vAlign w:val="center"/>
                </w:tcPr>
                <w:p w14:paraId="0982036C">
                  <w:pPr>
                    <w:pStyle w:val="68"/>
                    <w:jc w:val="center"/>
                    <w:rPr>
                      <w:rFonts w:hint="default"/>
                      <w:color w:val="auto"/>
                      <w:lang w:val="en-US" w:eastAsia="zh-CN"/>
                    </w:rPr>
                  </w:pPr>
                  <w:r>
                    <w:rPr>
                      <w:rFonts w:hint="eastAsia"/>
                      <w:color w:val="auto"/>
                      <w:lang w:val="en-US" w:eastAsia="zh-CN"/>
                    </w:rPr>
                    <w:t>不可利用部分</w:t>
                  </w:r>
                </w:p>
              </w:tc>
              <w:tc>
                <w:tcPr>
                  <w:tcW w:w="1037" w:type="dxa"/>
                  <w:vAlign w:val="center"/>
                </w:tcPr>
                <w:p w14:paraId="7B2022B5">
                  <w:pPr>
                    <w:pStyle w:val="68"/>
                    <w:jc w:val="center"/>
                    <w:rPr>
                      <w:rFonts w:hint="default"/>
                      <w:color w:val="auto"/>
                      <w:lang w:val="en-US" w:eastAsia="zh-CN"/>
                    </w:rPr>
                  </w:pPr>
                  <w:r>
                    <w:rPr>
                      <w:rFonts w:hint="eastAsia"/>
                      <w:color w:val="auto"/>
                      <w:lang w:val="en-US" w:eastAsia="zh-CN"/>
                    </w:rPr>
                    <w:t>其他不可利用物</w:t>
                  </w:r>
                </w:p>
              </w:tc>
              <w:tc>
                <w:tcPr>
                  <w:tcW w:w="1077" w:type="dxa"/>
                  <w:vAlign w:val="center"/>
                </w:tcPr>
                <w:p w14:paraId="195C8163">
                  <w:pPr>
                    <w:pStyle w:val="68"/>
                    <w:jc w:val="center"/>
                    <w:rPr>
                      <w:rFonts w:hint="default"/>
                      <w:color w:val="auto"/>
                      <w:lang w:val="en-US" w:eastAsia="zh-CN"/>
                    </w:rPr>
                  </w:pPr>
                  <w:r>
                    <w:rPr>
                      <w:rFonts w:hint="eastAsia"/>
                      <w:color w:val="auto"/>
                      <w:lang w:val="en-US" w:eastAsia="zh-CN"/>
                    </w:rPr>
                    <w:t>329.35</w:t>
                  </w:r>
                </w:p>
              </w:tc>
              <w:tc>
                <w:tcPr>
                  <w:tcW w:w="1014" w:type="dxa"/>
                  <w:vAlign w:val="center"/>
                </w:tcPr>
                <w:p w14:paraId="78C0DDC0">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74900B72">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16A13ACF">
                  <w:pPr>
                    <w:pStyle w:val="68"/>
                    <w:jc w:val="center"/>
                    <w:rPr>
                      <w:rFonts w:hint="default"/>
                      <w:color w:val="auto"/>
                      <w:lang w:val="en-US" w:eastAsia="zh-CN"/>
                    </w:rPr>
                  </w:pPr>
                  <w:r>
                    <w:rPr>
                      <w:rFonts w:hint="eastAsia"/>
                      <w:color w:val="auto"/>
                      <w:lang w:val="en-US" w:eastAsia="zh-CN"/>
                    </w:rPr>
                    <w:t>/</w:t>
                  </w:r>
                </w:p>
              </w:tc>
              <w:tc>
                <w:tcPr>
                  <w:tcW w:w="1166" w:type="dxa"/>
                  <w:vAlign w:val="center"/>
                </w:tcPr>
                <w:p w14:paraId="7A4233AC">
                  <w:pPr>
                    <w:pStyle w:val="68"/>
                    <w:jc w:val="center"/>
                    <w:rPr>
                      <w:rFonts w:hint="default"/>
                      <w:color w:val="auto"/>
                      <w:lang w:val="en-US" w:eastAsia="zh-CN"/>
                    </w:rPr>
                  </w:pPr>
                  <w:r>
                    <w:rPr>
                      <w:rFonts w:hint="default"/>
                      <w:color w:val="auto"/>
                      <w:lang w:val="en-US" w:eastAsia="zh-CN"/>
                    </w:rPr>
                    <w:t>委托回收公司拉运处</w:t>
                  </w:r>
                  <w:r>
                    <w:rPr>
                      <w:rFonts w:hint="eastAsia"/>
                      <w:color w:val="auto"/>
                      <w:lang w:val="en-US" w:eastAsia="zh-CN"/>
                    </w:rPr>
                    <w:t>理</w:t>
                  </w:r>
                </w:p>
              </w:tc>
            </w:tr>
            <w:tr w14:paraId="1A88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7051C119">
                  <w:pPr>
                    <w:pStyle w:val="68"/>
                    <w:jc w:val="center"/>
                    <w:rPr>
                      <w:rFonts w:hint="default"/>
                      <w:color w:val="auto"/>
                      <w:lang w:val="en-US" w:eastAsia="zh-CN"/>
                    </w:rPr>
                  </w:pPr>
                </w:p>
              </w:tc>
              <w:tc>
                <w:tcPr>
                  <w:tcW w:w="2074" w:type="dxa"/>
                  <w:gridSpan w:val="2"/>
                  <w:vAlign w:val="center"/>
                </w:tcPr>
                <w:p w14:paraId="7D702CAB">
                  <w:pPr>
                    <w:pStyle w:val="68"/>
                    <w:jc w:val="center"/>
                    <w:rPr>
                      <w:rFonts w:hint="default"/>
                      <w:color w:val="auto"/>
                      <w:lang w:val="en-US" w:eastAsia="zh-CN"/>
                    </w:rPr>
                  </w:pPr>
                  <w:r>
                    <w:rPr>
                      <w:rFonts w:hint="eastAsia"/>
                      <w:color w:val="auto"/>
                      <w:lang w:val="en-US" w:eastAsia="zh-CN"/>
                    </w:rPr>
                    <w:t>小计</w:t>
                  </w:r>
                </w:p>
              </w:tc>
              <w:tc>
                <w:tcPr>
                  <w:tcW w:w="1077" w:type="dxa"/>
                  <w:vAlign w:val="center"/>
                </w:tcPr>
                <w:p w14:paraId="0DA1A984">
                  <w:pPr>
                    <w:pStyle w:val="68"/>
                    <w:jc w:val="center"/>
                    <w:rPr>
                      <w:rFonts w:hint="default"/>
                      <w:color w:val="auto"/>
                      <w:lang w:val="en-US" w:eastAsia="zh-CN"/>
                    </w:rPr>
                  </w:pPr>
                  <w:r>
                    <w:rPr>
                      <w:rFonts w:hint="eastAsia"/>
                      <w:color w:val="auto"/>
                      <w:lang w:val="en-US" w:eastAsia="zh-CN"/>
                    </w:rPr>
                    <w:t>8095.85</w:t>
                  </w:r>
                </w:p>
              </w:tc>
              <w:tc>
                <w:tcPr>
                  <w:tcW w:w="1014" w:type="dxa"/>
                  <w:vAlign w:val="center"/>
                </w:tcPr>
                <w:p w14:paraId="32B25BF2">
                  <w:pPr>
                    <w:pStyle w:val="68"/>
                    <w:jc w:val="center"/>
                    <w:rPr>
                      <w:rFonts w:hint="default"/>
                      <w:color w:val="auto"/>
                      <w:lang w:val="en-US" w:eastAsia="zh-CN"/>
                    </w:rPr>
                  </w:pPr>
                  <w:r>
                    <w:rPr>
                      <w:rFonts w:hint="eastAsia"/>
                      <w:color w:val="auto"/>
                      <w:lang w:val="en-US" w:eastAsia="zh-CN"/>
                    </w:rPr>
                    <w:t>/</w:t>
                  </w:r>
                </w:p>
              </w:tc>
              <w:tc>
                <w:tcPr>
                  <w:tcW w:w="1059" w:type="dxa"/>
                  <w:vAlign w:val="center"/>
                </w:tcPr>
                <w:p w14:paraId="5F6FE0C1">
                  <w:pPr>
                    <w:pStyle w:val="68"/>
                    <w:jc w:val="center"/>
                    <w:rPr>
                      <w:rFonts w:hint="default"/>
                      <w:color w:val="auto"/>
                      <w:lang w:val="en-US" w:eastAsia="zh-CN"/>
                    </w:rPr>
                  </w:pPr>
                  <w:r>
                    <w:rPr>
                      <w:rFonts w:hint="eastAsia"/>
                      <w:color w:val="auto"/>
                      <w:lang w:val="en-US" w:eastAsia="zh-CN"/>
                    </w:rPr>
                    <w:t>/</w:t>
                  </w:r>
                </w:p>
              </w:tc>
              <w:tc>
                <w:tcPr>
                  <w:tcW w:w="1288" w:type="dxa"/>
                  <w:vAlign w:val="center"/>
                </w:tcPr>
                <w:p w14:paraId="583AD505">
                  <w:pPr>
                    <w:pStyle w:val="68"/>
                    <w:jc w:val="center"/>
                    <w:rPr>
                      <w:rFonts w:hint="default"/>
                      <w:color w:val="auto"/>
                      <w:lang w:val="en-US" w:eastAsia="zh-CN"/>
                    </w:rPr>
                  </w:pPr>
                  <w:r>
                    <w:rPr>
                      <w:rFonts w:hint="eastAsia"/>
                      <w:color w:val="auto"/>
                      <w:lang w:val="en-US" w:eastAsia="zh-CN"/>
                    </w:rPr>
                    <w:t>/</w:t>
                  </w:r>
                </w:p>
              </w:tc>
              <w:tc>
                <w:tcPr>
                  <w:tcW w:w="1166" w:type="dxa"/>
                  <w:vAlign w:val="center"/>
                </w:tcPr>
                <w:p w14:paraId="21828637">
                  <w:pPr>
                    <w:pStyle w:val="68"/>
                    <w:jc w:val="center"/>
                    <w:rPr>
                      <w:rFonts w:hint="default"/>
                      <w:color w:val="auto"/>
                      <w:lang w:val="en-US" w:eastAsia="zh-CN"/>
                    </w:rPr>
                  </w:pPr>
                  <w:r>
                    <w:rPr>
                      <w:rFonts w:hint="eastAsia"/>
                      <w:color w:val="auto"/>
                      <w:lang w:val="en-US" w:eastAsia="zh-CN"/>
                    </w:rPr>
                    <w:t>/</w:t>
                  </w:r>
                </w:p>
              </w:tc>
            </w:tr>
            <w:tr w14:paraId="5E6F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restart"/>
                  <w:vAlign w:val="center"/>
                </w:tcPr>
                <w:p w14:paraId="31045E77">
                  <w:pPr>
                    <w:pStyle w:val="68"/>
                    <w:jc w:val="center"/>
                    <w:rPr>
                      <w:rFonts w:hint="default"/>
                      <w:color w:val="auto"/>
                      <w:lang w:val="en-US" w:eastAsia="zh-CN"/>
                    </w:rPr>
                  </w:pPr>
                  <w:r>
                    <w:rPr>
                      <w:rFonts w:hint="eastAsia"/>
                      <w:color w:val="auto"/>
                      <w:lang w:val="en-US" w:eastAsia="zh-CN"/>
                    </w:rPr>
                    <w:t>危险废物</w:t>
                  </w:r>
                </w:p>
              </w:tc>
              <w:tc>
                <w:tcPr>
                  <w:tcW w:w="2074" w:type="dxa"/>
                  <w:gridSpan w:val="2"/>
                  <w:vAlign w:val="center"/>
                </w:tcPr>
                <w:p w14:paraId="2678FC4E">
                  <w:pPr>
                    <w:pStyle w:val="68"/>
                    <w:jc w:val="center"/>
                    <w:rPr>
                      <w:rFonts w:hint="default"/>
                      <w:color w:val="auto"/>
                      <w:lang w:val="en-US" w:eastAsia="zh-CN"/>
                    </w:rPr>
                  </w:pPr>
                  <w:r>
                    <w:rPr>
                      <w:rFonts w:hint="eastAsia"/>
                      <w:color w:val="auto"/>
                      <w:lang w:val="en-US" w:eastAsia="zh-CN"/>
                    </w:rPr>
                    <w:t>废油液</w:t>
                  </w:r>
                </w:p>
              </w:tc>
              <w:tc>
                <w:tcPr>
                  <w:tcW w:w="1077" w:type="dxa"/>
                  <w:vAlign w:val="center"/>
                </w:tcPr>
                <w:p w14:paraId="1A34C763">
                  <w:pPr>
                    <w:pStyle w:val="68"/>
                    <w:jc w:val="center"/>
                    <w:rPr>
                      <w:rFonts w:hint="default"/>
                      <w:color w:val="auto"/>
                      <w:lang w:val="en-US" w:eastAsia="zh-CN"/>
                    </w:rPr>
                  </w:pPr>
                  <w:r>
                    <w:rPr>
                      <w:rFonts w:hint="eastAsia"/>
                      <w:color w:val="auto"/>
                      <w:lang w:val="en-US" w:eastAsia="zh-CN"/>
                    </w:rPr>
                    <w:t>32.725</w:t>
                  </w:r>
                </w:p>
              </w:tc>
              <w:tc>
                <w:tcPr>
                  <w:tcW w:w="1014" w:type="dxa"/>
                  <w:vAlign w:val="center"/>
                </w:tcPr>
                <w:p w14:paraId="691AFFC0">
                  <w:pPr>
                    <w:pStyle w:val="68"/>
                    <w:jc w:val="center"/>
                    <w:rPr>
                      <w:rFonts w:hint="default"/>
                      <w:color w:val="auto"/>
                      <w:lang w:val="en-US" w:eastAsia="zh-CN"/>
                    </w:rPr>
                  </w:pPr>
                  <w:r>
                    <w:rPr>
                      <w:rFonts w:hint="eastAsia"/>
                      <w:color w:val="auto"/>
                      <w:lang w:val="en-US" w:eastAsia="zh-CN"/>
                    </w:rPr>
                    <w:t>液体</w:t>
                  </w:r>
                </w:p>
              </w:tc>
              <w:tc>
                <w:tcPr>
                  <w:tcW w:w="1059" w:type="dxa"/>
                  <w:vAlign w:val="center"/>
                </w:tcPr>
                <w:p w14:paraId="54071FD1">
                  <w:pPr>
                    <w:pStyle w:val="68"/>
                    <w:jc w:val="center"/>
                    <w:rPr>
                      <w:rFonts w:hint="default"/>
                      <w:color w:val="auto"/>
                      <w:lang w:val="en-US" w:eastAsia="zh-CN"/>
                    </w:rPr>
                  </w:pPr>
                  <w:r>
                    <w:rPr>
                      <w:rFonts w:hint="eastAsia"/>
                      <w:color w:val="auto"/>
                      <w:lang w:val="en-US" w:eastAsia="zh-CN"/>
                    </w:rPr>
                    <w:t>HW08</w:t>
                  </w:r>
                </w:p>
              </w:tc>
              <w:tc>
                <w:tcPr>
                  <w:tcW w:w="1288" w:type="dxa"/>
                  <w:vAlign w:val="center"/>
                </w:tcPr>
                <w:p w14:paraId="7F15B2C3">
                  <w:pPr>
                    <w:pStyle w:val="68"/>
                    <w:jc w:val="center"/>
                    <w:rPr>
                      <w:rFonts w:hint="default"/>
                      <w:color w:val="auto"/>
                      <w:lang w:val="en-US" w:eastAsia="zh-CN"/>
                    </w:rPr>
                  </w:pPr>
                  <w:r>
                    <w:rPr>
                      <w:rFonts w:hint="eastAsia"/>
                      <w:color w:val="auto"/>
                      <w:lang w:val="en-US" w:eastAsia="zh-CN"/>
                    </w:rPr>
                    <w:t>900-221-08</w:t>
                  </w:r>
                </w:p>
              </w:tc>
              <w:tc>
                <w:tcPr>
                  <w:tcW w:w="1166" w:type="dxa"/>
                  <w:vMerge w:val="restart"/>
                  <w:vAlign w:val="center"/>
                </w:tcPr>
                <w:p w14:paraId="0BDEBC96">
                  <w:pPr>
                    <w:pStyle w:val="68"/>
                    <w:jc w:val="center"/>
                    <w:rPr>
                      <w:rFonts w:hint="default"/>
                      <w:color w:val="auto"/>
                      <w:lang w:val="en-US" w:eastAsia="zh-CN"/>
                    </w:rPr>
                  </w:pPr>
                  <w:r>
                    <w:rPr>
                      <w:rFonts w:hint="default"/>
                      <w:color w:val="auto"/>
                      <w:lang w:val="en-US" w:eastAsia="zh-CN"/>
                    </w:rPr>
                    <w:t>危废暂存间分类暂存，再委托有资质的单位定期清运处置</w:t>
                  </w:r>
                </w:p>
              </w:tc>
            </w:tr>
            <w:tr w14:paraId="400A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18A06F98">
                  <w:pPr>
                    <w:pStyle w:val="68"/>
                    <w:jc w:val="center"/>
                    <w:rPr>
                      <w:rFonts w:hint="eastAsia"/>
                      <w:color w:val="auto"/>
                      <w:lang w:val="en-US" w:eastAsia="zh-CN"/>
                    </w:rPr>
                  </w:pPr>
                </w:p>
              </w:tc>
              <w:tc>
                <w:tcPr>
                  <w:tcW w:w="2074" w:type="dxa"/>
                  <w:gridSpan w:val="2"/>
                  <w:vAlign w:val="center"/>
                </w:tcPr>
                <w:p w14:paraId="107A5EE7">
                  <w:pPr>
                    <w:pStyle w:val="68"/>
                    <w:jc w:val="center"/>
                    <w:rPr>
                      <w:rFonts w:hint="default"/>
                      <w:color w:val="auto"/>
                      <w:lang w:val="en-US" w:eastAsia="zh-CN"/>
                    </w:rPr>
                  </w:pPr>
                  <w:r>
                    <w:rPr>
                      <w:rFonts w:hint="eastAsia"/>
                      <w:color w:val="auto"/>
                      <w:lang w:val="en-US" w:eastAsia="zh-CN"/>
                    </w:rPr>
                    <w:t>废制冷剂</w:t>
                  </w:r>
                </w:p>
              </w:tc>
              <w:tc>
                <w:tcPr>
                  <w:tcW w:w="1077" w:type="dxa"/>
                  <w:vAlign w:val="center"/>
                </w:tcPr>
                <w:p w14:paraId="40B951A3">
                  <w:pPr>
                    <w:pStyle w:val="68"/>
                    <w:jc w:val="center"/>
                    <w:rPr>
                      <w:rFonts w:hint="default"/>
                      <w:color w:val="auto"/>
                      <w:lang w:val="en-US" w:eastAsia="zh-CN"/>
                    </w:rPr>
                  </w:pPr>
                  <w:r>
                    <w:rPr>
                      <w:rFonts w:hint="eastAsia"/>
                      <w:color w:val="auto"/>
                      <w:lang w:val="en-US" w:eastAsia="zh-CN"/>
                    </w:rPr>
                    <w:t>2.525</w:t>
                  </w:r>
                </w:p>
              </w:tc>
              <w:tc>
                <w:tcPr>
                  <w:tcW w:w="1014" w:type="dxa"/>
                  <w:vAlign w:val="center"/>
                </w:tcPr>
                <w:p w14:paraId="6DB2F3D6">
                  <w:pPr>
                    <w:pStyle w:val="68"/>
                    <w:jc w:val="center"/>
                    <w:rPr>
                      <w:rFonts w:hint="default"/>
                      <w:color w:val="auto"/>
                      <w:lang w:val="en-US" w:eastAsia="zh-CN"/>
                    </w:rPr>
                  </w:pPr>
                  <w:r>
                    <w:rPr>
                      <w:rFonts w:hint="eastAsia"/>
                      <w:color w:val="auto"/>
                      <w:lang w:val="en-US" w:eastAsia="zh-CN"/>
                    </w:rPr>
                    <w:t>液体</w:t>
                  </w:r>
                </w:p>
              </w:tc>
              <w:tc>
                <w:tcPr>
                  <w:tcW w:w="2347" w:type="dxa"/>
                  <w:gridSpan w:val="2"/>
                  <w:vMerge w:val="restart"/>
                  <w:vAlign w:val="center"/>
                </w:tcPr>
                <w:p w14:paraId="0C781C0E">
                  <w:pPr>
                    <w:pStyle w:val="68"/>
                    <w:jc w:val="center"/>
                    <w:rPr>
                      <w:rFonts w:hint="default"/>
                      <w:color w:val="auto"/>
                      <w:lang w:val="en-US" w:eastAsia="zh-CN"/>
                    </w:rPr>
                  </w:pPr>
                  <w:r>
                    <w:rPr>
                      <w:rFonts w:hint="default"/>
                      <w:color w:val="auto"/>
                      <w:lang w:val="en-US" w:eastAsia="zh-CN"/>
                    </w:rPr>
                    <w:t>《报废机动车拆解企业污染控制技术规范》HJ348-2022所列危险废物</w:t>
                  </w:r>
                </w:p>
              </w:tc>
              <w:tc>
                <w:tcPr>
                  <w:tcW w:w="1166" w:type="dxa"/>
                  <w:vMerge w:val="continue"/>
                  <w:vAlign w:val="center"/>
                </w:tcPr>
                <w:p w14:paraId="64D847D8">
                  <w:pPr>
                    <w:pStyle w:val="68"/>
                    <w:jc w:val="center"/>
                    <w:rPr>
                      <w:rFonts w:hint="default"/>
                      <w:color w:val="auto"/>
                      <w:lang w:val="en-US" w:eastAsia="zh-CN"/>
                    </w:rPr>
                  </w:pPr>
                </w:p>
              </w:tc>
            </w:tr>
            <w:tr w14:paraId="6F67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7278869A">
                  <w:pPr>
                    <w:pStyle w:val="68"/>
                    <w:jc w:val="center"/>
                    <w:rPr>
                      <w:rFonts w:hint="eastAsia"/>
                      <w:color w:val="auto"/>
                      <w:lang w:val="en-US" w:eastAsia="zh-CN"/>
                    </w:rPr>
                  </w:pPr>
                </w:p>
              </w:tc>
              <w:tc>
                <w:tcPr>
                  <w:tcW w:w="2074" w:type="dxa"/>
                  <w:gridSpan w:val="2"/>
                  <w:vAlign w:val="center"/>
                </w:tcPr>
                <w:p w14:paraId="1B94A319">
                  <w:pPr>
                    <w:pStyle w:val="68"/>
                    <w:jc w:val="center"/>
                    <w:rPr>
                      <w:rFonts w:hint="default"/>
                      <w:color w:val="auto"/>
                      <w:lang w:val="en-US" w:eastAsia="zh-CN"/>
                    </w:rPr>
                  </w:pPr>
                  <w:r>
                    <w:rPr>
                      <w:rFonts w:hint="eastAsia"/>
                      <w:color w:val="auto"/>
                      <w:lang w:val="en-US" w:eastAsia="zh-CN"/>
                    </w:rPr>
                    <w:t>废冷却液、防冻液</w:t>
                  </w:r>
                </w:p>
              </w:tc>
              <w:tc>
                <w:tcPr>
                  <w:tcW w:w="1077" w:type="dxa"/>
                  <w:vAlign w:val="center"/>
                </w:tcPr>
                <w:p w14:paraId="3495D39C">
                  <w:pPr>
                    <w:pStyle w:val="68"/>
                    <w:jc w:val="center"/>
                    <w:rPr>
                      <w:rFonts w:hint="default"/>
                      <w:color w:val="auto"/>
                      <w:lang w:val="en-US" w:eastAsia="zh-CN"/>
                    </w:rPr>
                  </w:pPr>
                  <w:r>
                    <w:rPr>
                      <w:rFonts w:hint="eastAsia"/>
                      <w:color w:val="auto"/>
                      <w:lang w:val="en-US" w:eastAsia="zh-CN"/>
                    </w:rPr>
                    <w:t>2.5375</w:t>
                  </w:r>
                </w:p>
              </w:tc>
              <w:tc>
                <w:tcPr>
                  <w:tcW w:w="1014" w:type="dxa"/>
                  <w:vAlign w:val="center"/>
                </w:tcPr>
                <w:p w14:paraId="5539D98E">
                  <w:pPr>
                    <w:pStyle w:val="68"/>
                    <w:jc w:val="center"/>
                    <w:rPr>
                      <w:rFonts w:hint="default"/>
                      <w:color w:val="auto"/>
                      <w:lang w:val="en-US" w:eastAsia="zh-CN"/>
                    </w:rPr>
                  </w:pPr>
                  <w:r>
                    <w:rPr>
                      <w:rFonts w:hint="eastAsia"/>
                      <w:color w:val="auto"/>
                      <w:lang w:val="en-US" w:eastAsia="zh-CN"/>
                    </w:rPr>
                    <w:t>液体</w:t>
                  </w:r>
                </w:p>
              </w:tc>
              <w:tc>
                <w:tcPr>
                  <w:tcW w:w="2347" w:type="dxa"/>
                  <w:gridSpan w:val="2"/>
                  <w:vMerge w:val="continue"/>
                  <w:vAlign w:val="center"/>
                </w:tcPr>
                <w:p w14:paraId="06E0D80E">
                  <w:pPr>
                    <w:pStyle w:val="68"/>
                    <w:jc w:val="center"/>
                    <w:rPr>
                      <w:rFonts w:hint="default"/>
                      <w:color w:val="auto"/>
                      <w:lang w:val="en-US" w:eastAsia="zh-CN"/>
                    </w:rPr>
                  </w:pPr>
                </w:p>
              </w:tc>
              <w:tc>
                <w:tcPr>
                  <w:tcW w:w="1166" w:type="dxa"/>
                  <w:vMerge w:val="continue"/>
                  <w:vAlign w:val="center"/>
                </w:tcPr>
                <w:p w14:paraId="74586A6E">
                  <w:pPr>
                    <w:pStyle w:val="68"/>
                    <w:jc w:val="center"/>
                    <w:rPr>
                      <w:rFonts w:hint="default"/>
                      <w:color w:val="auto"/>
                      <w:lang w:val="en-US" w:eastAsia="zh-CN"/>
                    </w:rPr>
                  </w:pPr>
                </w:p>
              </w:tc>
            </w:tr>
            <w:tr w14:paraId="401B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47C8CF79">
                  <w:pPr>
                    <w:pStyle w:val="68"/>
                    <w:jc w:val="center"/>
                    <w:rPr>
                      <w:rFonts w:hint="eastAsia"/>
                      <w:color w:val="auto"/>
                      <w:lang w:val="en-US" w:eastAsia="zh-CN"/>
                    </w:rPr>
                  </w:pPr>
                </w:p>
              </w:tc>
              <w:tc>
                <w:tcPr>
                  <w:tcW w:w="2074" w:type="dxa"/>
                  <w:gridSpan w:val="2"/>
                  <w:vAlign w:val="center"/>
                </w:tcPr>
                <w:p w14:paraId="25803B53">
                  <w:pPr>
                    <w:pStyle w:val="68"/>
                    <w:jc w:val="center"/>
                    <w:rPr>
                      <w:rFonts w:hint="default"/>
                      <w:color w:val="auto"/>
                      <w:lang w:val="en-US" w:eastAsia="zh-CN"/>
                    </w:rPr>
                  </w:pPr>
                  <w:r>
                    <w:rPr>
                      <w:rFonts w:hint="eastAsia"/>
                      <w:color w:val="auto"/>
                      <w:lang w:val="en-US" w:eastAsia="zh-CN"/>
                    </w:rPr>
                    <w:t>废尾气催化剂</w:t>
                  </w:r>
                </w:p>
              </w:tc>
              <w:tc>
                <w:tcPr>
                  <w:tcW w:w="1077" w:type="dxa"/>
                  <w:vAlign w:val="center"/>
                </w:tcPr>
                <w:p w14:paraId="14B47DFC">
                  <w:pPr>
                    <w:pStyle w:val="68"/>
                    <w:jc w:val="center"/>
                    <w:rPr>
                      <w:rFonts w:hint="default"/>
                      <w:color w:val="auto"/>
                      <w:lang w:val="en-US" w:eastAsia="zh-CN"/>
                    </w:rPr>
                  </w:pPr>
                  <w:r>
                    <w:rPr>
                      <w:rFonts w:hint="eastAsia"/>
                      <w:color w:val="auto"/>
                      <w:lang w:val="en-US" w:eastAsia="zh-CN"/>
                    </w:rPr>
                    <w:t>1.275</w:t>
                  </w:r>
                </w:p>
              </w:tc>
              <w:tc>
                <w:tcPr>
                  <w:tcW w:w="1014" w:type="dxa"/>
                  <w:vAlign w:val="center"/>
                </w:tcPr>
                <w:p w14:paraId="344FE407">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10CBD8DC">
                  <w:pPr>
                    <w:pStyle w:val="68"/>
                    <w:jc w:val="center"/>
                    <w:rPr>
                      <w:rFonts w:hint="default"/>
                      <w:color w:val="auto"/>
                      <w:lang w:val="en-US" w:eastAsia="zh-CN"/>
                    </w:rPr>
                  </w:pPr>
                  <w:r>
                    <w:rPr>
                      <w:rFonts w:hint="eastAsia"/>
                      <w:color w:val="auto"/>
                      <w:lang w:val="en-US" w:eastAsia="zh-CN"/>
                    </w:rPr>
                    <w:t>HW50</w:t>
                  </w:r>
                </w:p>
              </w:tc>
              <w:tc>
                <w:tcPr>
                  <w:tcW w:w="1288" w:type="dxa"/>
                  <w:vAlign w:val="center"/>
                </w:tcPr>
                <w:p w14:paraId="6A486404">
                  <w:pPr>
                    <w:pStyle w:val="68"/>
                    <w:jc w:val="center"/>
                    <w:rPr>
                      <w:rFonts w:hint="default"/>
                      <w:color w:val="auto"/>
                      <w:lang w:val="en-US" w:eastAsia="zh-CN"/>
                    </w:rPr>
                  </w:pPr>
                  <w:r>
                    <w:rPr>
                      <w:rFonts w:hint="eastAsia"/>
                      <w:color w:val="auto"/>
                      <w:lang w:val="en-US" w:eastAsia="zh-CN"/>
                    </w:rPr>
                    <w:t>900-049-50</w:t>
                  </w:r>
                </w:p>
              </w:tc>
              <w:tc>
                <w:tcPr>
                  <w:tcW w:w="1166" w:type="dxa"/>
                  <w:vMerge w:val="continue"/>
                  <w:vAlign w:val="center"/>
                </w:tcPr>
                <w:p w14:paraId="618CAAE4">
                  <w:pPr>
                    <w:pStyle w:val="68"/>
                    <w:jc w:val="center"/>
                    <w:rPr>
                      <w:rFonts w:hint="default"/>
                      <w:color w:val="auto"/>
                      <w:lang w:val="en-US" w:eastAsia="zh-CN"/>
                    </w:rPr>
                  </w:pPr>
                </w:p>
              </w:tc>
            </w:tr>
            <w:tr w14:paraId="7BC3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31A03D34">
                  <w:pPr>
                    <w:pStyle w:val="68"/>
                    <w:jc w:val="center"/>
                    <w:rPr>
                      <w:rFonts w:hint="eastAsia"/>
                      <w:color w:val="auto"/>
                      <w:lang w:val="en-US" w:eastAsia="zh-CN"/>
                    </w:rPr>
                  </w:pPr>
                </w:p>
              </w:tc>
              <w:tc>
                <w:tcPr>
                  <w:tcW w:w="2074" w:type="dxa"/>
                  <w:gridSpan w:val="2"/>
                  <w:vAlign w:val="center"/>
                </w:tcPr>
                <w:p w14:paraId="5063C02F">
                  <w:pPr>
                    <w:pStyle w:val="68"/>
                    <w:jc w:val="center"/>
                    <w:rPr>
                      <w:rFonts w:hint="default"/>
                      <w:color w:val="auto"/>
                      <w:lang w:val="en-US" w:eastAsia="zh-CN"/>
                    </w:rPr>
                  </w:pPr>
                  <w:r>
                    <w:rPr>
                      <w:rFonts w:hint="eastAsia"/>
                      <w:color w:val="auto"/>
                      <w:lang w:val="en-US" w:eastAsia="zh-CN"/>
                    </w:rPr>
                    <w:t>废铅酸蓄电池</w:t>
                  </w:r>
                </w:p>
              </w:tc>
              <w:tc>
                <w:tcPr>
                  <w:tcW w:w="1077" w:type="dxa"/>
                  <w:vAlign w:val="center"/>
                </w:tcPr>
                <w:p w14:paraId="36876589">
                  <w:pPr>
                    <w:pStyle w:val="68"/>
                    <w:jc w:val="center"/>
                    <w:rPr>
                      <w:rFonts w:hint="default"/>
                      <w:color w:val="auto"/>
                      <w:lang w:val="en-US" w:eastAsia="zh-CN"/>
                    </w:rPr>
                  </w:pPr>
                  <w:r>
                    <w:rPr>
                      <w:rFonts w:hint="eastAsia"/>
                      <w:color w:val="auto"/>
                      <w:lang w:val="en-US" w:eastAsia="zh-CN"/>
                    </w:rPr>
                    <w:t>75.25</w:t>
                  </w:r>
                </w:p>
              </w:tc>
              <w:tc>
                <w:tcPr>
                  <w:tcW w:w="1014" w:type="dxa"/>
                  <w:vAlign w:val="center"/>
                </w:tcPr>
                <w:p w14:paraId="41C1286D">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47064AB0">
                  <w:pPr>
                    <w:pStyle w:val="68"/>
                    <w:jc w:val="center"/>
                    <w:rPr>
                      <w:rFonts w:hint="default"/>
                      <w:color w:val="auto"/>
                      <w:lang w:val="en-US" w:eastAsia="zh-CN"/>
                    </w:rPr>
                  </w:pPr>
                  <w:r>
                    <w:rPr>
                      <w:rFonts w:hint="eastAsia"/>
                      <w:color w:val="auto"/>
                      <w:lang w:val="en-US" w:eastAsia="zh-CN"/>
                    </w:rPr>
                    <w:t>HW31</w:t>
                  </w:r>
                </w:p>
              </w:tc>
              <w:tc>
                <w:tcPr>
                  <w:tcW w:w="1288" w:type="dxa"/>
                  <w:vAlign w:val="center"/>
                </w:tcPr>
                <w:p w14:paraId="27F78880">
                  <w:pPr>
                    <w:pStyle w:val="68"/>
                    <w:jc w:val="center"/>
                    <w:rPr>
                      <w:rFonts w:hint="default"/>
                      <w:color w:val="auto"/>
                      <w:lang w:val="en-US" w:eastAsia="zh-CN"/>
                    </w:rPr>
                  </w:pPr>
                  <w:r>
                    <w:rPr>
                      <w:rFonts w:hint="eastAsia"/>
                      <w:color w:val="auto"/>
                      <w:lang w:val="en-US" w:eastAsia="zh-CN"/>
                    </w:rPr>
                    <w:t>900-052-31</w:t>
                  </w:r>
                </w:p>
              </w:tc>
              <w:tc>
                <w:tcPr>
                  <w:tcW w:w="1166" w:type="dxa"/>
                  <w:vMerge w:val="continue"/>
                  <w:vAlign w:val="center"/>
                </w:tcPr>
                <w:p w14:paraId="456EB0EE">
                  <w:pPr>
                    <w:pStyle w:val="68"/>
                    <w:jc w:val="center"/>
                    <w:rPr>
                      <w:rFonts w:hint="default"/>
                      <w:color w:val="auto"/>
                      <w:lang w:val="en-US" w:eastAsia="zh-CN"/>
                    </w:rPr>
                  </w:pPr>
                </w:p>
              </w:tc>
            </w:tr>
            <w:tr w14:paraId="5ED5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67774A88">
                  <w:pPr>
                    <w:pStyle w:val="68"/>
                    <w:jc w:val="center"/>
                    <w:rPr>
                      <w:rFonts w:hint="eastAsia"/>
                      <w:color w:val="auto"/>
                      <w:lang w:val="en-US" w:eastAsia="zh-CN"/>
                    </w:rPr>
                  </w:pPr>
                </w:p>
              </w:tc>
              <w:tc>
                <w:tcPr>
                  <w:tcW w:w="2074" w:type="dxa"/>
                  <w:gridSpan w:val="2"/>
                  <w:vAlign w:val="center"/>
                </w:tcPr>
                <w:p w14:paraId="13EF1284">
                  <w:pPr>
                    <w:pStyle w:val="68"/>
                    <w:jc w:val="center"/>
                    <w:rPr>
                      <w:rFonts w:hint="default"/>
                      <w:color w:val="auto"/>
                      <w:lang w:val="en-US" w:eastAsia="zh-CN"/>
                    </w:rPr>
                  </w:pPr>
                  <w:r>
                    <w:rPr>
                      <w:rFonts w:hint="eastAsia"/>
                      <w:color w:val="auto"/>
                      <w:lang w:val="en-US" w:eastAsia="zh-CN"/>
                    </w:rPr>
                    <w:t>含多氯联苯的废电容</w:t>
                  </w:r>
                </w:p>
              </w:tc>
              <w:tc>
                <w:tcPr>
                  <w:tcW w:w="1077" w:type="dxa"/>
                  <w:vAlign w:val="center"/>
                </w:tcPr>
                <w:p w14:paraId="5EFDC143">
                  <w:pPr>
                    <w:pStyle w:val="68"/>
                    <w:jc w:val="center"/>
                    <w:rPr>
                      <w:rFonts w:hint="default"/>
                      <w:color w:val="auto"/>
                      <w:lang w:val="en-US" w:eastAsia="zh-CN"/>
                    </w:rPr>
                  </w:pPr>
                  <w:r>
                    <w:rPr>
                      <w:rFonts w:hint="eastAsia"/>
                      <w:color w:val="auto"/>
                      <w:lang w:val="en-US" w:eastAsia="zh-CN"/>
                    </w:rPr>
                    <w:t>1.2875</w:t>
                  </w:r>
                </w:p>
              </w:tc>
              <w:tc>
                <w:tcPr>
                  <w:tcW w:w="1014" w:type="dxa"/>
                  <w:vAlign w:val="center"/>
                </w:tcPr>
                <w:p w14:paraId="5EA777B5">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2E7A4AE3">
                  <w:pPr>
                    <w:pStyle w:val="68"/>
                    <w:jc w:val="center"/>
                    <w:rPr>
                      <w:rFonts w:hint="default"/>
                      <w:color w:val="auto"/>
                      <w:lang w:val="en-US" w:eastAsia="zh-CN"/>
                    </w:rPr>
                  </w:pPr>
                  <w:r>
                    <w:rPr>
                      <w:rFonts w:hint="eastAsia"/>
                      <w:color w:val="auto"/>
                      <w:lang w:val="en-US" w:eastAsia="zh-CN"/>
                    </w:rPr>
                    <w:t>HW10</w:t>
                  </w:r>
                </w:p>
              </w:tc>
              <w:tc>
                <w:tcPr>
                  <w:tcW w:w="1288" w:type="dxa"/>
                  <w:vAlign w:val="center"/>
                </w:tcPr>
                <w:p w14:paraId="0AAB9AE7">
                  <w:pPr>
                    <w:pStyle w:val="68"/>
                    <w:jc w:val="center"/>
                    <w:rPr>
                      <w:rFonts w:hint="default"/>
                      <w:color w:val="auto"/>
                      <w:lang w:val="en-US" w:eastAsia="zh-CN"/>
                    </w:rPr>
                  </w:pPr>
                  <w:r>
                    <w:rPr>
                      <w:rFonts w:hint="eastAsia"/>
                      <w:color w:val="auto"/>
                      <w:lang w:val="en-US" w:eastAsia="zh-CN"/>
                    </w:rPr>
                    <w:t>900-008-10</w:t>
                  </w:r>
                </w:p>
              </w:tc>
              <w:tc>
                <w:tcPr>
                  <w:tcW w:w="1166" w:type="dxa"/>
                  <w:vMerge w:val="continue"/>
                  <w:vAlign w:val="center"/>
                </w:tcPr>
                <w:p w14:paraId="10BC8ABE">
                  <w:pPr>
                    <w:pStyle w:val="68"/>
                    <w:jc w:val="center"/>
                    <w:rPr>
                      <w:rFonts w:hint="default"/>
                      <w:color w:val="auto"/>
                      <w:lang w:val="en-US" w:eastAsia="zh-CN"/>
                    </w:rPr>
                  </w:pPr>
                </w:p>
              </w:tc>
            </w:tr>
            <w:tr w14:paraId="3534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7BD7ACD9">
                  <w:pPr>
                    <w:pStyle w:val="68"/>
                    <w:jc w:val="center"/>
                    <w:rPr>
                      <w:rFonts w:hint="eastAsia"/>
                      <w:color w:val="auto"/>
                      <w:lang w:val="en-US" w:eastAsia="zh-CN"/>
                    </w:rPr>
                  </w:pPr>
                </w:p>
              </w:tc>
              <w:tc>
                <w:tcPr>
                  <w:tcW w:w="2074" w:type="dxa"/>
                  <w:gridSpan w:val="2"/>
                  <w:vAlign w:val="center"/>
                </w:tcPr>
                <w:p w14:paraId="08430A21">
                  <w:pPr>
                    <w:pStyle w:val="68"/>
                    <w:jc w:val="center"/>
                    <w:rPr>
                      <w:rFonts w:hint="default"/>
                      <w:color w:val="auto"/>
                      <w:lang w:val="en-US" w:eastAsia="zh-CN"/>
                    </w:rPr>
                  </w:pPr>
                  <w:r>
                    <w:rPr>
                      <w:rFonts w:hint="eastAsia"/>
                      <w:color w:val="auto"/>
                      <w:lang w:val="en-US" w:eastAsia="zh-CN"/>
                    </w:rPr>
                    <w:t>电路板、电子元器件</w:t>
                  </w:r>
                </w:p>
              </w:tc>
              <w:tc>
                <w:tcPr>
                  <w:tcW w:w="1077" w:type="dxa"/>
                  <w:vAlign w:val="center"/>
                </w:tcPr>
                <w:p w14:paraId="24FDCB07">
                  <w:pPr>
                    <w:pStyle w:val="68"/>
                    <w:jc w:val="center"/>
                    <w:rPr>
                      <w:rFonts w:hint="default"/>
                      <w:color w:val="auto"/>
                      <w:lang w:val="en-US" w:eastAsia="zh-CN"/>
                    </w:rPr>
                  </w:pPr>
                  <w:r>
                    <w:rPr>
                      <w:rFonts w:hint="eastAsia"/>
                      <w:color w:val="auto"/>
                      <w:lang w:val="en-US" w:eastAsia="zh-CN"/>
                    </w:rPr>
                    <w:t>17.575</w:t>
                  </w:r>
                </w:p>
              </w:tc>
              <w:tc>
                <w:tcPr>
                  <w:tcW w:w="1014" w:type="dxa"/>
                  <w:vAlign w:val="center"/>
                </w:tcPr>
                <w:p w14:paraId="25EA86D1">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3B775814">
                  <w:pPr>
                    <w:pStyle w:val="68"/>
                    <w:jc w:val="center"/>
                    <w:rPr>
                      <w:rFonts w:hint="default"/>
                      <w:color w:val="auto"/>
                      <w:lang w:val="en-US" w:eastAsia="zh-CN"/>
                    </w:rPr>
                  </w:pPr>
                  <w:r>
                    <w:rPr>
                      <w:rFonts w:hint="eastAsia"/>
                      <w:color w:val="auto"/>
                      <w:lang w:val="en-US" w:eastAsia="zh-CN"/>
                    </w:rPr>
                    <w:t>HW49</w:t>
                  </w:r>
                </w:p>
              </w:tc>
              <w:tc>
                <w:tcPr>
                  <w:tcW w:w="1288" w:type="dxa"/>
                  <w:vAlign w:val="center"/>
                </w:tcPr>
                <w:p w14:paraId="52AD9E18">
                  <w:pPr>
                    <w:pStyle w:val="68"/>
                    <w:jc w:val="center"/>
                    <w:rPr>
                      <w:rFonts w:hint="default"/>
                      <w:color w:val="auto"/>
                      <w:lang w:val="en-US" w:eastAsia="zh-CN"/>
                    </w:rPr>
                  </w:pPr>
                  <w:r>
                    <w:rPr>
                      <w:rFonts w:hint="eastAsia"/>
                      <w:color w:val="auto"/>
                      <w:lang w:val="en-US" w:eastAsia="zh-CN"/>
                    </w:rPr>
                    <w:t>900-045-49</w:t>
                  </w:r>
                </w:p>
              </w:tc>
              <w:tc>
                <w:tcPr>
                  <w:tcW w:w="1166" w:type="dxa"/>
                  <w:vMerge w:val="continue"/>
                  <w:vAlign w:val="center"/>
                </w:tcPr>
                <w:p w14:paraId="238FB70B">
                  <w:pPr>
                    <w:pStyle w:val="68"/>
                    <w:jc w:val="center"/>
                    <w:rPr>
                      <w:rFonts w:hint="default"/>
                      <w:color w:val="auto"/>
                      <w:lang w:val="en-US" w:eastAsia="zh-CN"/>
                    </w:rPr>
                  </w:pPr>
                </w:p>
              </w:tc>
            </w:tr>
            <w:tr w14:paraId="6BDF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41775D9E">
                  <w:pPr>
                    <w:pStyle w:val="68"/>
                    <w:jc w:val="center"/>
                    <w:rPr>
                      <w:rFonts w:hint="eastAsia"/>
                      <w:color w:val="auto"/>
                      <w:lang w:val="en-US" w:eastAsia="zh-CN"/>
                    </w:rPr>
                  </w:pPr>
                </w:p>
              </w:tc>
              <w:tc>
                <w:tcPr>
                  <w:tcW w:w="2074" w:type="dxa"/>
                  <w:gridSpan w:val="2"/>
                  <w:vAlign w:val="center"/>
                </w:tcPr>
                <w:p w14:paraId="043652D1">
                  <w:pPr>
                    <w:pStyle w:val="68"/>
                    <w:jc w:val="center"/>
                    <w:rPr>
                      <w:rFonts w:hint="default"/>
                      <w:color w:val="auto"/>
                      <w:lang w:val="en-US" w:eastAsia="zh-CN"/>
                    </w:rPr>
                  </w:pPr>
                  <w:r>
                    <w:rPr>
                      <w:rFonts w:hint="eastAsia"/>
                      <w:color w:val="auto"/>
                      <w:lang w:val="en-US" w:eastAsia="zh-CN"/>
                    </w:rPr>
                    <w:t>废制动衬片</w:t>
                  </w:r>
                </w:p>
              </w:tc>
              <w:tc>
                <w:tcPr>
                  <w:tcW w:w="1077" w:type="dxa"/>
                  <w:vAlign w:val="center"/>
                </w:tcPr>
                <w:p w14:paraId="2F8ACBDC">
                  <w:pPr>
                    <w:pStyle w:val="68"/>
                    <w:jc w:val="center"/>
                    <w:rPr>
                      <w:rFonts w:hint="default"/>
                      <w:color w:val="auto"/>
                      <w:lang w:val="en-US" w:eastAsia="zh-CN"/>
                    </w:rPr>
                  </w:pPr>
                  <w:r>
                    <w:rPr>
                      <w:rFonts w:hint="eastAsia"/>
                      <w:color w:val="auto"/>
                      <w:lang w:val="en-US" w:eastAsia="zh-CN"/>
                    </w:rPr>
                    <w:t>9.135</w:t>
                  </w:r>
                </w:p>
              </w:tc>
              <w:tc>
                <w:tcPr>
                  <w:tcW w:w="1014" w:type="dxa"/>
                  <w:vAlign w:val="center"/>
                </w:tcPr>
                <w:p w14:paraId="40E7C0EC">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7CA2C1B4">
                  <w:pPr>
                    <w:pStyle w:val="68"/>
                    <w:jc w:val="center"/>
                    <w:rPr>
                      <w:rFonts w:hint="default"/>
                      <w:color w:val="auto"/>
                      <w:lang w:val="en-US" w:eastAsia="zh-CN"/>
                    </w:rPr>
                  </w:pPr>
                  <w:r>
                    <w:rPr>
                      <w:rFonts w:hint="eastAsia"/>
                      <w:color w:val="auto"/>
                      <w:lang w:val="en-US" w:eastAsia="zh-CN"/>
                    </w:rPr>
                    <w:t>HW36</w:t>
                  </w:r>
                </w:p>
              </w:tc>
              <w:tc>
                <w:tcPr>
                  <w:tcW w:w="1288" w:type="dxa"/>
                  <w:vAlign w:val="center"/>
                </w:tcPr>
                <w:p w14:paraId="0E2DB364">
                  <w:pPr>
                    <w:pStyle w:val="68"/>
                    <w:jc w:val="center"/>
                    <w:rPr>
                      <w:rFonts w:hint="default"/>
                      <w:color w:val="auto"/>
                      <w:lang w:val="en-US" w:eastAsia="zh-CN"/>
                    </w:rPr>
                  </w:pPr>
                  <w:r>
                    <w:rPr>
                      <w:rFonts w:hint="eastAsia"/>
                      <w:color w:val="auto"/>
                      <w:lang w:val="en-US" w:eastAsia="zh-CN"/>
                    </w:rPr>
                    <w:t>900-032-36</w:t>
                  </w:r>
                </w:p>
              </w:tc>
              <w:tc>
                <w:tcPr>
                  <w:tcW w:w="1166" w:type="dxa"/>
                  <w:vMerge w:val="continue"/>
                  <w:vAlign w:val="center"/>
                </w:tcPr>
                <w:p w14:paraId="51268526">
                  <w:pPr>
                    <w:pStyle w:val="68"/>
                    <w:jc w:val="center"/>
                    <w:rPr>
                      <w:rFonts w:hint="default"/>
                      <w:color w:val="auto"/>
                      <w:lang w:val="en-US" w:eastAsia="zh-CN"/>
                    </w:rPr>
                  </w:pPr>
                </w:p>
              </w:tc>
            </w:tr>
            <w:tr w14:paraId="2C57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4D7D9D3E">
                  <w:pPr>
                    <w:pStyle w:val="68"/>
                    <w:jc w:val="center"/>
                    <w:rPr>
                      <w:rFonts w:hint="eastAsia"/>
                      <w:color w:val="auto"/>
                      <w:lang w:val="en-US" w:eastAsia="zh-CN"/>
                    </w:rPr>
                  </w:pPr>
                </w:p>
              </w:tc>
              <w:tc>
                <w:tcPr>
                  <w:tcW w:w="2074" w:type="dxa"/>
                  <w:gridSpan w:val="2"/>
                  <w:vAlign w:val="center"/>
                </w:tcPr>
                <w:p w14:paraId="7662959C">
                  <w:pPr>
                    <w:pStyle w:val="68"/>
                    <w:jc w:val="center"/>
                    <w:rPr>
                      <w:rFonts w:hint="default"/>
                      <w:color w:val="auto"/>
                      <w:lang w:val="en-US" w:eastAsia="zh-CN"/>
                    </w:rPr>
                  </w:pPr>
                  <w:r>
                    <w:rPr>
                      <w:rFonts w:hint="eastAsia"/>
                      <w:color w:val="auto"/>
                      <w:lang w:val="en-US" w:eastAsia="zh-CN"/>
                    </w:rPr>
                    <w:t>含汞光源</w:t>
                  </w:r>
                </w:p>
              </w:tc>
              <w:tc>
                <w:tcPr>
                  <w:tcW w:w="1077" w:type="dxa"/>
                  <w:vAlign w:val="center"/>
                </w:tcPr>
                <w:p w14:paraId="0C93BF68">
                  <w:pPr>
                    <w:pStyle w:val="68"/>
                    <w:jc w:val="center"/>
                    <w:rPr>
                      <w:rFonts w:hint="default"/>
                      <w:color w:val="auto"/>
                      <w:lang w:val="en-US" w:eastAsia="zh-CN"/>
                    </w:rPr>
                  </w:pPr>
                  <w:r>
                    <w:rPr>
                      <w:rFonts w:hint="eastAsia"/>
                      <w:color w:val="auto"/>
                      <w:lang w:val="en-US" w:eastAsia="zh-CN"/>
                    </w:rPr>
                    <w:t>2.535</w:t>
                  </w:r>
                </w:p>
              </w:tc>
              <w:tc>
                <w:tcPr>
                  <w:tcW w:w="1014" w:type="dxa"/>
                  <w:vAlign w:val="center"/>
                </w:tcPr>
                <w:p w14:paraId="78D28AAF">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3E230FEF">
                  <w:pPr>
                    <w:pStyle w:val="68"/>
                    <w:jc w:val="center"/>
                    <w:rPr>
                      <w:rFonts w:hint="default"/>
                      <w:color w:val="auto"/>
                      <w:lang w:val="en-US" w:eastAsia="zh-CN"/>
                    </w:rPr>
                  </w:pPr>
                  <w:r>
                    <w:rPr>
                      <w:rFonts w:hint="eastAsia"/>
                      <w:color w:val="auto"/>
                      <w:lang w:val="en-US" w:eastAsia="zh-CN"/>
                    </w:rPr>
                    <w:t>HW29</w:t>
                  </w:r>
                </w:p>
              </w:tc>
              <w:tc>
                <w:tcPr>
                  <w:tcW w:w="1288" w:type="dxa"/>
                  <w:vAlign w:val="center"/>
                </w:tcPr>
                <w:p w14:paraId="349903BB">
                  <w:pPr>
                    <w:pStyle w:val="68"/>
                    <w:jc w:val="center"/>
                    <w:rPr>
                      <w:rFonts w:hint="default"/>
                      <w:color w:val="auto"/>
                      <w:lang w:val="en-US" w:eastAsia="zh-CN"/>
                    </w:rPr>
                  </w:pPr>
                  <w:r>
                    <w:rPr>
                      <w:rFonts w:hint="eastAsia"/>
                      <w:color w:val="auto"/>
                      <w:lang w:val="en-US" w:eastAsia="zh-CN"/>
                    </w:rPr>
                    <w:t>900-023-29</w:t>
                  </w:r>
                </w:p>
              </w:tc>
              <w:tc>
                <w:tcPr>
                  <w:tcW w:w="1166" w:type="dxa"/>
                  <w:vMerge w:val="continue"/>
                  <w:vAlign w:val="center"/>
                </w:tcPr>
                <w:p w14:paraId="21DA34AE">
                  <w:pPr>
                    <w:pStyle w:val="68"/>
                    <w:jc w:val="center"/>
                    <w:rPr>
                      <w:rFonts w:hint="default"/>
                      <w:color w:val="auto"/>
                      <w:lang w:val="en-US" w:eastAsia="zh-CN"/>
                    </w:rPr>
                  </w:pPr>
                </w:p>
              </w:tc>
            </w:tr>
            <w:tr w14:paraId="5D4B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68482E72">
                  <w:pPr>
                    <w:pStyle w:val="68"/>
                    <w:jc w:val="center"/>
                    <w:rPr>
                      <w:rFonts w:hint="eastAsia"/>
                      <w:color w:val="auto"/>
                      <w:lang w:val="en-US" w:eastAsia="zh-CN"/>
                    </w:rPr>
                  </w:pPr>
                </w:p>
              </w:tc>
              <w:tc>
                <w:tcPr>
                  <w:tcW w:w="2074" w:type="dxa"/>
                  <w:gridSpan w:val="2"/>
                  <w:vAlign w:val="center"/>
                </w:tcPr>
                <w:p w14:paraId="4624691E">
                  <w:pPr>
                    <w:pStyle w:val="68"/>
                    <w:jc w:val="center"/>
                    <w:rPr>
                      <w:rFonts w:hint="default"/>
                      <w:color w:val="auto"/>
                      <w:lang w:val="en-US" w:eastAsia="zh-CN"/>
                    </w:rPr>
                  </w:pPr>
                  <w:r>
                    <w:rPr>
                      <w:rFonts w:hint="eastAsia"/>
                      <w:color w:val="auto"/>
                      <w:lang w:val="en-US" w:eastAsia="zh-CN"/>
                    </w:rPr>
                    <w:t>机油滤清器</w:t>
                  </w:r>
                </w:p>
              </w:tc>
              <w:tc>
                <w:tcPr>
                  <w:tcW w:w="1077" w:type="dxa"/>
                  <w:vAlign w:val="center"/>
                </w:tcPr>
                <w:p w14:paraId="49FE1265">
                  <w:pPr>
                    <w:pStyle w:val="68"/>
                    <w:jc w:val="center"/>
                    <w:rPr>
                      <w:rFonts w:hint="default"/>
                      <w:color w:val="auto"/>
                      <w:lang w:val="en-US" w:eastAsia="zh-CN"/>
                    </w:rPr>
                  </w:pPr>
                  <w:r>
                    <w:rPr>
                      <w:rFonts w:hint="eastAsia"/>
                      <w:color w:val="auto"/>
                      <w:lang w:val="en-US" w:eastAsia="zh-CN"/>
                    </w:rPr>
                    <w:t>1.01</w:t>
                  </w:r>
                </w:p>
              </w:tc>
              <w:tc>
                <w:tcPr>
                  <w:tcW w:w="1014" w:type="dxa"/>
                  <w:vAlign w:val="center"/>
                </w:tcPr>
                <w:p w14:paraId="7D388C51">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0E982C21">
                  <w:pPr>
                    <w:pStyle w:val="68"/>
                    <w:jc w:val="center"/>
                    <w:rPr>
                      <w:rFonts w:hint="default"/>
                      <w:color w:val="auto"/>
                      <w:lang w:val="en-US" w:eastAsia="zh-CN"/>
                    </w:rPr>
                  </w:pPr>
                  <w:r>
                    <w:rPr>
                      <w:rFonts w:hint="eastAsia"/>
                      <w:color w:val="auto"/>
                      <w:lang w:val="en-US" w:eastAsia="zh-CN"/>
                    </w:rPr>
                    <w:t>HW49</w:t>
                  </w:r>
                </w:p>
              </w:tc>
              <w:tc>
                <w:tcPr>
                  <w:tcW w:w="1288" w:type="dxa"/>
                  <w:vAlign w:val="center"/>
                </w:tcPr>
                <w:p w14:paraId="0C345E48">
                  <w:pPr>
                    <w:pStyle w:val="68"/>
                    <w:jc w:val="center"/>
                    <w:rPr>
                      <w:rFonts w:hint="default"/>
                      <w:color w:val="auto"/>
                      <w:lang w:val="en-US" w:eastAsia="zh-CN"/>
                    </w:rPr>
                  </w:pPr>
                  <w:r>
                    <w:rPr>
                      <w:rFonts w:hint="eastAsia"/>
                      <w:color w:val="auto"/>
                      <w:lang w:val="en-US" w:eastAsia="zh-CN"/>
                    </w:rPr>
                    <w:t>900-041-49</w:t>
                  </w:r>
                </w:p>
              </w:tc>
              <w:tc>
                <w:tcPr>
                  <w:tcW w:w="1166" w:type="dxa"/>
                  <w:vMerge w:val="continue"/>
                  <w:vAlign w:val="center"/>
                </w:tcPr>
                <w:p w14:paraId="0D939280">
                  <w:pPr>
                    <w:pStyle w:val="68"/>
                    <w:jc w:val="center"/>
                    <w:rPr>
                      <w:rFonts w:hint="default"/>
                      <w:color w:val="auto"/>
                      <w:lang w:val="en-US" w:eastAsia="zh-CN"/>
                    </w:rPr>
                  </w:pPr>
                </w:p>
              </w:tc>
            </w:tr>
            <w:tr w14:paraId="55A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69CCBA49">
                  <w:pPr>
                    <w:pStyle w:val="68"/>
                    <w:jc w:val="center"/>
                    <w:rPr>
                      <w:rFonts w:hint="eastAsia"/>
                      <w:color w:val="auto"/>
                      <w:lang w:val="en-US" w:eastAsia="zh-CN"/>
                    </w:rPr>
                  </w:pPr>
                </w:p>
              </w:tc>
              <w:tc>
                <w:tcPr>
                  <w:tcW w:w="2074" w:type="dxa"/>
                  <w:gridSpan w:val="2"/>
                  <w:vAlign w:val="center"/>
                </w:tcPr>
                <w:p w14:paraId="41539167">
                  <w:pPr>
                    <w:pStyle w:val="68"/>
                    <w:jc w:val="center"/>
                    <w:rPr>
                      <w:rFonts w:hint="default"/>
                      <w:color w:val="auto"/>
                      <w:lang w:val="en-US" w:eastAsia="zh-CN"/>
                    </w:rPr>
                  </w:pPr>
                  <w:r>
                    <w:rPr>
                      <w:rFonts w:hint="eastAsia"/>
                      <w:color w:val="auto"/>
                      <w:lang w:val="en-US" w:eastAsia="zh-CN"/>
                    </w:rPr>
                    <w:t>含油手套</w:t>
                  </w:r>
                </w:p>
              </w:tc>
              <w:tc>
                <w:tcPr>
                  <w:tcW w:w="1077" w:type="dxa"/>
                  <w:vAlign w:val="center"/>
                </w:tcPr>
                <w:p w14:paraId="32EAB622">
                  <w:pPr>
                    <w:pStyle w:val="68"/>
                    <w:jc w:val="center"/>
                    <w:rPr>
                      <w:rFonts w:hint="default"/>
                      <w:color w:val="auto"/>
                      <w:lang w:val="en-US" w:eastAsia="zh-CN"/>
                    </w:rPr>
                  </w:pPr>
                  <w:r>
                    <w:rPr>
                      <w:rFonts w:hint="eastAsia"/>
                      <w:color w:val="auto"/>
                      <w:lang w:val="en-US" w:eastAsia="zh-CN"/>
                    </w:rPr>
                    <w:t>0.2</w:t>
                  </w:r>
                </w:p>
              </w:tc>
              <w:tc>
                <w:tcPr>
                  <w:tcW w:w="1014" w:type="dxa"/>
                  <w:vAlign w:val="center"/>
                </w:tcPr>
                <w:p w14:paraId="696340AA">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179F741A">
                  <w:pPr>
                    <w:pStyle w:val="68"/>
                    <w:jc w:val="center"/>
                    <w:rPr>
                      <w:rFonts w:hint="default"/>
                      <w:color w:val="auto"/>
                      <w:lang w:val="en-US" w:eastAsia="zh-CN"/>
                    </w:rPr>
                  </w:pPr>
                  <w:r>
                    <w:rPr>
                      <w:rFonts w:hint="eastAsia"/>
                      <w:color w:val="auto"/>
                      <w:lang w:val="en-US" w:eastAsia="zh-CN"/>
                    </w:rPr>
                    <w:t>HW49</w:t>
                  </w:r>
                </w:p>
              </w:tc>
              <w:tc>
                <w:tcPr>
                  <w:tcW w:w="1288" w:type="dxa"/>
                  <w:vAlign w:val="center"/>
                </w:tcPr>
                <w:p w14:paraId="59059D6A">
                  <w:pPr>
                    <w:pStyle w:val="68"/>
                    <w:jc w:val="center"/>
                    <w:rPr>
                      <w:rFonts w:hint="default"/>
                      <w:color w:val="auto"/>
                      <w:lang w:val="en-US" w:eastAsia="zh-CN"/>
                    </w:rPr>
                  </w:pPr>
                  <w:r>
                    <w:rPr>
                      <w:rFonts w:hint="eastAsia"/>
                      <w:color w:val="auto"/>
                      <w:lang w:val="en-US" w:eastAsia="zh-CN"/>
                    </w:rPr>
                    <w:t>900-041-49</w:t>
                  </w:r>
                </w:p>
              </w:tc>
              <w:tc>
                <w:tcPr>
                  <w:tcW w:w="1166" w:type="dxa"/>
                  <w:vMerge w:val="continue"/>
                  <w:vAlign w:val="center"/>
                </w:tcPr>
                <w:p w14:paraId="565FA320">
                  <w:pPr>
                    <w:pStyle w:val="68"/>
                    <w:jc w:val="center"/>
                    <w:rPr>
                      <w:rFonts w:hint="default"/>
                      <w:color w:val="auto"/>
                      <w:lang w:val="en-US" w:eastAsia="zh-CN"/>
                    </w:rPr>
                  </w:pPr>
                </w:p>
              </w:tc>
            </w:tr>
            <w:tr w14:paraId="6999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6E12F541">
                  <w:pPr>
                    <w:pStyle w:val="68"/>
                    <w:jc w:val="center"/>
                    <w:rPr>
                      <w:rFonts w:hint="eastAsia"/>
                      <w:color w:val="auto"/>
                      <w:lang w:val="en-US" w:eastAsia="zh-CN"/>
                    </w:rPr>
                  </w:pPr>
                </w:p>
              </w:tc>
              <w:tc>
                <w:tcPr>
                  <w:tcW w:w="2074" w:type="dxa"/>
                  <w:gridSpan w:val="2"/>
                  <w:vAlign w:val="center"/>
                </w:tcPr>
                <w:p w14:paraId="0C47E072">
                  <w:pPr>
                    <w:pStyle w:val="68"/>
                    <w:jc w:val="center"/>
                    <w:rPr>
                      <w:rFonts w:hint="default"/>
                      <w:color w:val="auto"/>
                      <w:lang w:val="en-US" w:eastAsia="zh-CN"/>
                    </w:rPr>
                  </w:pPr>
                  <w:r>
                    <w:rPr>
                      <w:rFonts w:hint="eastAsia"/>
                      <w:color w:val="auto"/>
                      <w:lang w:val="en-US" w:eastAsia="zh-CN"/>
                    </w:rPr>
                    <w:t>废活性炭</w:t>
                  </w:r>
                </w:p>
              </w:tc>
              <w:tc>
                <w:tcPr>
                  <w:tcW w:w="1077" w:type="dxa"/>
                  <w:vAlign w:val="center"/>
                </w:tcPr>
                <w:p w14:paraId="3C57DD52">
                  <w:pPr>
                    <w:pStyle w:val="68"/>
                    <w:jc w:val="center"/>
                    <w:rPr>
                      <w:rFonts w:hint="default"/>
                      <w:color w:val="auto"/>
                      <w:lang w:val="en-US" w:eastAsia="zh-CN"/>
                    </w:rPr>
                  </w:pPr>
                  <w:r>
                    <w:rPr>
                      <w:rFonts w:hint="eastAsia"/>
                      <w:color w:val="auto"/>
                      <w:lang w:val="en-US" w:eastAsia="zh-CN"/>
                    </w:rPr>
                    <w:t>0.0088</w:t>
                  </w:r>
                </w:p>
              </w:tc>
              <w:tc>
                <w:tcPr>
                  <w:tcW w:w="1014" w:type="dxa"/>
                  <w:vAlign w:val="center"/>
                </w:tcPr>
                <w:p w14:paraId="07E1A36D">
                  <w:pPr>
                    <w:pStyle w:val="68"/>
                    <w:jc w:val="center"/>
                    <w:rPr>
                      <w:rFonts w:hint="default"/>
                      <w:color w:val="auto"/>
                      <w:lang w:val="en-US" w:eastAsia="zh-CN"/>
                    </w:rPr>
                  </w:pPr>
                  <w:r>
                    <w:rPr>
                      <w:rFonts w:hint="eastAsia"/>
                      <w:color w:val="auto"/>
                      <w:lang w:val="en-US" w:eastAsia="zh-CN"/>
                    </w:rPr>
                    <w:t>固体</w:t>
                  </w:r>
                </w:p>
              </w:tc>
              <w:tc>
                <w:tcPr>
                  <w:tcW w:w="1059" w:type="dxa"/>
                  <w:shd w:val="clear" w:color="auto" w:fill="auto"/>
                  <w:vAlign w:val="center"/>
                </w:tcPr>
                <w:p w14:paraId="18DE6DAB">
                  <w:pPr>
                    <w:pStyle w:val="68"/>
                    <w:jc w:val="center"/>
                    <w:rPr>
                      <w:rFonts w:hint="default"/>
                      <w:color w:val="auto"/>
                      <w:lang w:val="en-US" w:eastAsia="zh-CN"/>
                    </w:rPr>
                  </w:pPr>
                  <w:r>
                    <w:rPr>
                      <w:rFonts w:hint="eastAsia"/>
                      <w:color w:val="auto"/>
                      <w:lang w:val="en-US" w:eastAsia="zh-CN"/>
                    </w:rPr>
                    <w:t>HW49</w:t>
                  </w:r>
                </w:p>
              </w:tc>
              <w:tc>
                <w:tcPr>
                  <w:tcW w:w="1288" w:type="dxa"/>
                  <w:shd w:val="clear" w:color="auto" w:fill="auto"/>
                  <w:vAlign w:val="center"/>
                </w:tcPr>
                <w:p w14:paraId="6713646D">
                  <w:pPr>
                    <w:pStyle w:val="68"/>
                    <w:jc w:val="center"/>
                    <w:rPr>
                      <w:rFonts w:hint="default"/>
                      <w:color w:val="auto"/>
                      <w:lang w:val="en-US" w:eastAsia="zh-CN"/>
                    </w:rPr>
                  </w:pPr>
                  <w:r>
                    <w:rPr>
                      <w:rFonts w:hint="eastAsia"/>
                      <w:color w:val="auto"/>
                      <w:lang w:val="en-US" w:eastAsia="zh-CN"/>
                    </w:rPr>
                    <w:t>900-039-49</w:t>
                  </w:r>
                </w:p>
              </w:tc>
              <w:tc>
                <w:tcPr>
                  <w:tcW w:w="1166" w:type="dxa"/>
                  <w:vMerge w:val="continue"/>
                  <w:vAlign w:val="center"/>
                </w:tcPr>
                <w:p w14:paraId="50017274">
                  <w:pPr>
                    <w:pStyle w:val="68"/>
                    <w:jc w:val="center"/>
                    <w:rPr>
                      <w:rFonts w:hint="default"/>
                      <w:color w:val="auto"/>
                      <w:lang w:val="en-US" w:eastAsia="zh-CN"/>
                    </w:rPr>
                  </w:pPr>
                </w:p>
              </w:tc>
            </w:tr>
            <w:tr w14:paraId="6887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2" w:type="dxa"/>
                  <w:vMerge w:val="continue"/>
                  <w:vAlign w:val="center"/>
                </w:tcPr>
                <w:p w14:paraId="5BD692DD">
                  <w:pPr>
                    <w:pStyle w:val="68"/>
                    <w:jc w:val="center"/>
                    <w:rPr>
                      <w:rFonts w:hint="eastAsia"/>
                      <w:color w:val="auto"/>
                      <w:lang w:val="en-US" w:eastAsia="zh-CN"/>
                    </w:rPr>
                  </w:pPr>
                </w:p>
              </w:tc>
              <w:tc>
                <w:tcPr>
                  <w:tcW w:w="2074" w:type="dxa"/>
                  <w:gridSpan w:val="2"/>
                  <w:vAlign w:val="center"/>
                </w:tcPr>
                <w:p w14:paraId="4BA187C8">
                  <w:pPr>
                    <w:pStyle w:val="68"/>
                    <w:jc w:val="center"/>
                    <w:rPr>
                      <w:rFonts w:hint="default"/>
                      <w:color w:val="auto"/>
                      <w:lang w:val="en-US" w:eastAsia="zh-CN"/>
                    </w:rPr>
                  </w:pPr>
                  <w:r>
                    <w:rPr>
                      <w:rFonts w:hint="eastAsia"/>
                      <w:color w:val="auto"/>
                      <w:lang w:val="en-US" w:eastAsia="zh-CN"/>
                    </w:rPr>
                    <w:t>小计</w:t>
                  </w:r>
                </w:p>
              </w:tc>
              <w:tc>
                <w:tcPr>
                  <w:tcW w:w="1077" w:type="dxa"/>
                  <w:vAlign w:val="center"/>
                </w:tcPr>
                <w:p w14:paraId="73A5E725">
                  <w:pPr>
                    <w:pStyle w:val="68"/>
                    <w:jc w:val="center"/>
                    <w:rPr>
                      <w:rFonts w:hint="default"/>
                      <w:color w:val="auto"/>
                      <w:lang w:val="en-US" w:eastAsia="zh-CN"/>
                    </w:rPr>
                  </w:pPr>
                  <w:r>
                    <w:rPr>
                      <w:rFonts w:hint="eastAsia"/>
                      <w:color w:val="auto"/>
                      <w:lang w:val="en-US" w:eastAsia="zh-CN"/>
                    </w:rPr>
                    <w:t>146.0638</w:t>
                  </w:r>
                </w:p>
              </w:tc>
              <w:tc>
                <w:tcPr>
                  <w:tcW w:w="1014" w:type="dxa"/>
                  <w:vAlign w:val="center"/>
                </w:tcPr>
                <w:p w14:paraId="32D18927">
                  <w:pPr>
                    <w:pStyle w:val="68"/>
                    <w:jc w:val="center"/>
                    <w:rPr>
                      <w:rFonts w:hint="default"/>
                      <w:color w:val="auto"/>
                      <w:lang w:val="en-US" w:eastAsia="zh-CN"/>
                    </w:rPr>
                  </w:pPr>
                </w:p>
              </w:tc>
              <w:tc>
                <w:tcPr>
                  <w:tcW w:w="1059" w:type="dxa"/>
                  <w:vAlign w:val="center"/>
                </w:tcPr>
                <w:p w14:paraId="386C35B9">
                  <w:pPr>
                    <w:pStyle w:val="68"/>
                    <w:jc w:val="center"/>
                    <w:rPr>
                      <w:rFonts w:hint="default"/>
                      <w:color w:val="auto"/>
                      <w:lang w:val="en-US" w:eastAsia="zh-CN"/>
                    </w:rPr>
                  </w:pPr>
                </w:p>
              </w:tc>
              <w:tc>
                <w:tcPr>
                  <w:tcW w:w="1288" w:type="dxa"/>
                  <w:vAlign w:val="center"/>
                </w:tcPr>
                <w:p w14:paraId="6A6DD4C4">
                  <w:pPr>
                    <w:pStyle w:val="68"/>
                    <w:jc w:val="center"/>
                    <w:rPr>
                      <w:rFonts w:hint="default"/>
                      <w:color w:val="auto"/>
                      <w:lang w:val="en-US" w:eastAsia="zh-CN"/>
                    </w:rPr>
                  </w:pPr>
                </w:p>
              </w:tc>
              <w:tc>
                <w:tcPr>
                  <w:tcW w:w="1166" w:type="dxa"/>
                  <w:vMerge w:val="continue"/>
                  <w:vAlign w:val="center"/>
                </w:tcPr>
                <w:p w14:paraId="20BA55BF">
                  <w:pPr>
                    <w:pStyle w:val="68"/>
                    <w:jc w:val="center"/>
                    <w:rPr>
                      <w:rFonts w:hint="default"/>
                      <w:color w:val="auto"/>
                      <w:lang w:val="en-US" w:eastAsia="zh-CN"/>
                    </w:rPr>
                  </w:pPr>
                </w:p>
              </w:tc>
            </w:tr>
            <w:tr w14:paraId="34BB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86" w:type="dxa"/>
                  <w:gridSpan w:val="3"/>
                  <w:vAlign w:val="center"/>
                </w:tcPr>
                <w:p w14:paraId="57EC263B">
                  <w:pPr>
                    <w:pStyle w:val="68"/>
                    <w:jc w:val="center"/>
                    <w:rPr>
                      <w:rFonts w:hint="default"/>
                      <w:color w:val="auto"/>
                      <w:lang w:val="en-US" w:eastAsia="zh-CN"/>
                    </w:rPr>
                  </w:pPr>
                  <w:r>
                    <w:rPr>
                      <w:rFonts w:hint="eastAsia"/>
                      <w:color w:val="auto"/>
                      <w:lang w:val="en-US" w:eastAsia="zh-CN"/>
                    </w:rPr>
                    <w:t>生活垃圾</w:t>
                  </w:r>
                </w:p>
              </w:tc>
              <w:tc>
                <w:tcPr>
                  <w:tcW w:w="1077" w:type="dxa"/>
                  <w:vAlign w:val="center"/>
                </w:tcPr>
                <w:p w14:paraId="48ADC6E1">
                  <w:pPr>
                    <w:pStyle w:val="68"/>
                    <w:jc w:val="center"/>
                    <w:rPr>
                      <w:rFonts w:hint="default"/>
                      <w:color w:val="auto"/>
                      <w:lang w:val="en-US" w:eastAsia="zh-CN"/>
                    </w:rPr>
                  </w:pPr>
                  <w:r>
                    <w:rPr>
                      <w:rFonts w:hint="eastAsia"/>
                      <w:color w:val="auto"/>
                      <w:lang w:val="en-US" w:eastAsia="zh-CN"/>
                    </w:rPr>
                    <w:t>2.1</w:t>
                  </w:r>
                </w:p>
              </w:tc>
              <w:tc>
                <w:tcPr>
                  <w:tcW w:w="1014" w:type="dxa"/>
                  <w:vAlign w:val="center"/>
                </w:tcPr>
                <w:p w14:paraId="5E225D66">
                  <w:pPr>
                    <w:pStyle w:val="68"/>
                    <w:jc w:val="center"/>
                    <w:rPr>
                      <w:rFonts w:hint="default"/>
                      <w:color w:val="auto"/>
                      <w:lang w:val="en-US" w:eastAsia="zh-CN"/>
                    </w:rPr>
                  </w:pPr>
                  <w:r>
                    <w:rPr>
                      <w:rFonts w:hint="eastAsia"/>
                      <w:color w:val="auto"/>
                      <w:lang w:val="en-US" w:eastAsia="zh-CN"/>
                    </w:rPr>
                    <w:t>固体</w:t>
                  </w:r>
                </w:p>
              </w:tc>
              <w:tc>
                <w:tcPr>
                  <w:tcW w:w="1059" w:type="dxa"/>
                  <w:vAlign w:val="center"/>
                </w:tcPr>
                <w:p w14:paraId="753AD360">
                  <w:pPr>
                    <w:pStyle w:val="68"/>
                    <w:jc w:val="center"/>
                    <w:rPr>
                      <w:rFonts w:hint="default"/>
                      <w:color w:val="auto"/>
                      <w:lang w:val="en-US" w:eastAsia="zh-CN"/>
                    </w:rPr>
                  </w:pPr>
                </w:p>
              </w:tc>
              <w:tc>
                <w:tcPr>
                  <w:tcW w:w="1288" w:type="dxa"/>
                  <w:vAlign w:val="center"/>
                </w:tcPr>
                <w:p w14:paraId="38E91C9B">
                  <w:pPr>
                    <w:pStyle w:val="68"/>
                    <w:jc w:val="center"/>
                    <w:rPr>
                      <w:rFonts w:hint="default"/>
                      <w:color w:val="auto"/>
                      <w:lang w:val="en-US" w:eastAsia="zh-CN"/>
                    </w:rPr>
                  </w:pPr>
                </w:p>
              </w:tc>
              <w:tc>
                <w:tcPr>
                  <w:tcW w:w="1166" w:type="dxa"/>
                  <w:vAlign w:val="center"/>
                </w:tcPr>
                <w:p w14:paraId="71F59140">
                  <w:pPr>
                    <w:pStyle w:val="68"/>
                    <w:jc w:val="center"/>
                    <w:rPr>
                      <w:rFonts w:hint="default"/>
                      <w:color w:val="auto"/>
                      <w:lang w:val="en-US" w:eastAsia="zh-CN"/>
                    </w:rPr>
                  </w:pPr>
                  <w:r>
                    <w:rPr>
                      <w:rFonts w:hint="eastAsia"/>
                      <w:color w:val="auto"/>
                      <w:lang w:val="en-US" w:eastAsia="zh-CN"/>
                    </w:rPr>
                    <w:t>由环卫部门处理</w:t>
                  </w:r>
                </w:p>
              </w:tc>
            </w:tr>
          </w:tbl>
          <w:p w14:paraId="132C4DD6">
            <w:pPr>
              <w:pStyle w:val="36"/>
              <w:numPr>
                <w:ilvl w:val="0"/>
                <w:numId w:val="0"/>
              </w:numPr>
              <w:spacing w:line="360" w:lineRule="auto"/>
              <w:rPr>
                <w:rFonts w:hint="eastAsia" w:ascii="Times New Roman" w:hAnsi="Times New Roman" w:eastAsia="宋体" w:cs="Times New Roman"/>
                <w:b/>
                <w:bCs/>
                <w:color w:val="auto"/>
                <w:kern w:val="44"/>
                <w:sz w:val="24"/>
                <w:szCs w:val="24"/>
                <w:highlight w:val="none"/>
                <w:lang w:val="en-US" w:eastAsia="zh-CN" w:bidi="ar-SA"/>
              </w:rPr>
            </w:pPr>
            <w:r>
              <w:rPr>
                <w:rFonts w:hint="eastAsia" w:ascii="Times New Roman" w:hAnsi="Times New Roman" w:eastAsia="宋体" w:cs="Times New Roman"/>
                <w:b/>
                <w:bCs/>
                <w:color w:val="auto"/>
                <w:kern w:val="44"/>
                <w:sz w:val="24"/>
                <w:szCs w:val="24"/>
                <w:highlight w:val="none"/>
                <w:lang w:val="en-US" w:eastAsia="zh-CN" w:bidi="ar-SA"/>
              </w:rPr>
              <w:t>2、一般固体废物污染环境防治措施及其合理性分析</w:t>
            </w:r>
          </w:p>
          <w:p w14:paraId="1A5CC79A">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本项目所产生的一般固体废物为钢铁、有色金属、废橡胶、废电线电缆、废塑料、废玻璃、废安全气囊（引爆后）、不可利用材料；设置回用件仓库与一般固废暂存间，回用件仓库占地面积</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0m</w:t>
            </w:r>
            <w:r>
              <w:rPr>
                <w:rFonts w:hint="default" w:ascii="宋体" w:hAnsi="宋体" w:eastAsia="宋体" w:cs="宋体"/>
                <w:sz w:val="24"/>
                <w:szCs w:val="24"/>
                <w:vertAlign w:val="superscript"/>
                <w:lang w:val="en-US" w:eastAsia="zh-CN"/>
              </w:rPr>
              <w:t>2</w:t>
            </w:r>
            <w:r>
              <w:rPr>
                <w:rFonts w:hint="default" w:ascii="宋体" w:hAnsi="宋体" w:eastAsia="宋体" w:cs="宋体"/>
                <w:sz w:val="24"/>
                <w:szCs w:val="24"/>
                <w:lang w:val="en-US" w:eastAsia="zh-CN"/>
              </w:rPr>
              <w:t>、一般固废暂存间占地面积</w:t>
            </w:r>
            <w:r>
              <w:rPr>
                <w:rFonts w:hint="eastAsia" w:ascii="宋体" w:hAnsi="宋体" w:eastAsia="宋体" w:cs="宋体"/>
                <w:sz w:val="24"/>
                <w:szCs w:val="24"/>
                <w:lang w:val="en-US" w:eastAsia="zh-CN"/>
              </w:rPr>
              <w:t>5</w:t>
            </w:r>
            <w:r>
              <w:rPr>
                <w:rFonts w:hint="default" w:ascii="宋体" w:hAnsi="宋体" w:eastAsia="宋体" w:cs="宋体"/>
                <w:sz w:val="24"/>
                <w:szCs w:val="24"/>
                <w:lang w:val="en-US" w:eastAsia="zh-CN"/>
              </w:rPr>
              <w:t>0m</w:t>
            </w:r>
            <w:r>
              <w:rPr>
                <w:rFonts w:hint="default" w:ascii="宋体" w:hAnsi="宋体" w:eastAsia="宋体" w:cs="宋体"/>
                <w:sz w:val="24"/>
                <w:szCs w:val="24"/>
                <w:vertAlign w:val="superscript"/>
                <w:lang w:val="en-US" w:eastAsia="zh-CN"/>
              </w:rPr>
              <w:t>2</w:t>
            </w:r>
            <w:r>
              <w:rPr>
                <w:rFonts w:hint="default" w:ascii="宋体" w:hAnsi="宋体" w:eastAsia="宋体" w:cs="宋体"/>
                <w:sz w:val="24"/>
                <w:szCs w:val="24"/>
                <w:lang w:val="en-US" w:eastAsia="zh-CN"/>
              </w:rPr>
              <w:t>，有效容积约</w:t>
            </w:r>
            <w:r>
              <w:rPr>
                <w:rFonts w:hint="eastAsia" w:ascii="宋体" w:hAnsi="宋体" w:eastAsia="宋体" w:cs="宋体"/>
                <w:sz w:val="24"/>
                <w:szCs w:val="24"/>
                <w:lang w:val="en-US" w:eastAsia="zh-CN"/>
              </w:rPr>
              <w:t>150</w:t>
            </w:r>
            <w:r>
              <w:rPr>
                <w:rFonts w:hint="default" w:ascii="宋体" w:hAnsi="宋体" w:eastAsia="宋体" w:cs="宋体"/>
                <w:sz w:val="24"/>
                <w:szCs w:val="24"/>
                <w:lang w:val="en-US" w:eastAsia="zh-CN"/>
              </w:rPr>
              <w:t>m</w:t>
            </w:r>
            <w:r>
              <w:rPr>
                <w:rFonts w:hint="default" w:ascii="宋体" w:hAnsi="宋体" w:eastAsia="宋体" w:cs="宋体"/>
                <w:sz w:val="24"/>
                <w:szCs w:val="24"/>
                <w:vertAlign w:val="superscript"/>
                <w:lang w:val="en-US" w:eastAsia="zh-CN"/>
              </w:rPr>
              <w:t>3</w:t>
            </w:r>
            <w:r>
              <w:rPr>
                <w:rFonts w:hint="default" w:ascii="宋体" w:hAnsi="宋体" w:eastAsia="宋体" w:cs="宋体"/>
                <w:sz w:val="24"/>
                <w:szCs w:val="24"/>
                <w:lang w:val="en-US" w:eastAsia="zh-CN"/>
              </w:rPr>
              <w:t>；钢铁、有色金属、废橡胶、废电线电缆、废塑料、废玻璃存放于回用件仓库，废安全气囊（引爆后）、不可利用材料存放于一般固废间；回用件仓库与一般固废暂存间均参照执行《一般工业固体废物贮存和填埋污染控制标准》（GB18599-2020）要求建设，同时应满足防渗漏、防雨淋、防扬尘的要求；回用件仓库贮存达一定量时外售至需要的单位，一般固废暂存间贮存达一定量时交由有资质单位处理或环卫部门处理。</w:t>
            </w:r>
          </w:p>
          <w:p w14:paraId="3EC97A8A">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回用件仓库与一般固废暂存间均满足生产运营期间所需储存能力，厂内一般固废均能得到有效、妥善的处理，对环境几乎不造成影响，故本项目回用件仓库与一般固废暂存间设置合理，一般固废暂存合理。</w:t>
            </w:r>
          </w:p>
          <w:p w14:paraId="61E7E585">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cs="Times New Roman"/>
                <w:b/>
                <w:bCs/>
                <w:color w:val="auto"/>
                <w:kern w:val="44"/>
                <w:sz w:val="24"/>
                <w:szCs w:val="24"/>
                <w:highlight w:val="none"/>
                <w:lang w:val="en-US" w:eastAsia="zh-CN" w:bidi="ar-SA"/>
              </w:rPr>
              <w:t>3</w:t>
            </w:r>
            <w:r>
              <w:rPr>
                <w:rFonts w:hint="eastAsia" w:ascii="Times New Roman" w:hAnsi="Times New Roman" w:cs="Times New Roman"/>
                <w:b/>
                <w:bCs/>
                <w:color w:val="auto"/>
                <w:kern w:val="44"/>
                <w:sz w:val="24"/>
                <w:szCs w:val="24"/>
                <w:highlight w:val="none"/>
                <w:lang w:val="en-US" w:eastAsia="zh-CN" w:bidi="ar-SA"/>
              </w:rPr>
              <w:t>、危险废物污染环境防治措施及其合理性分析</w:t>
            </w:r>
          </w:p>
          <w:p w14:paraId="5D0F2302">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本项目的危险废物主要为废尾气净化装置（含催化剂）、废线路板（含废电容电器）、废油液、冷却液、废空调制冷剂、含铅部件、含汞光源、废机油滤清器</w:t>
            </w:r>
            <w:r>
              <w:rPr>
                <w:rFonts w:ascii="宋体" w:hAnsi="宋体" w:eastAsia="宋体" w:cs="宋体"/>
                <w:sz w:val="24"/>
                <w:szCs w:val="24"/>
                <w:highlight w:val="none"/>
              </w:rPr>
              <w:t>、含油抹布</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手套</w:t>
            </w:r>
            <w:r>
              <w:rPr>
                <w:rFonts w:hint="eastAsia" w:ascii="宋体" w:hAnsi="宋体" w:cs="宋体"/>
                <w:sz w:val="24"/>
                <w:szCs w:val="24"/>
                <w:highlight w:val="none"/>
                <w:lang w:eastAsia="zh-CN"/>
              </w:rPr>
              <w:t>）</w:t>
            </w:r>
            <w:r>
              <w:rPr>
                <w:rFonts w:ascii="宋体" w:hAnsi="宋体" w:eastAsia="宋体" w:cs="宋体"/>
                <w:sz w:val="24"/>
                <w:szCs w:val="24"/>
                <w:highlight w:val="none"/>
              </w:rPr>
              <w:t>、废活</w:t>
            </w:r>
            <w:r>
              <w:rPr>
                <w:rFonts w:ascii="宋体" w:hAnsi="宋体" w:eastAsia="宋体" w:cs="宋体"/>
                <w:sz w:val="24"/>
                <w:szCs w:val="24"/>
              </w:rPr>
              <w:t>性炭。</w:t>
            </w:r>
          </w:p>
          <w:p w14:paraId="1A3FB51A">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危险废物具有多种危害特性，主要表现为与环境安全有关的危害性质(如腐蚀性、爆炸性、易燃性、反应性)和与人体健康有关的危害性质(如致癌性、致畸变性、突变性、传染性、刺激性、毒性)。危险废物主要是通过下述途径对水体、大气和土壤造成污染。</w:t>
            </w:r>
          </w:p>
          <w:p w14:paraId="057375B5">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①对水体的污染废物随天然降水径流流入江、河、湖、海，污染地表水；废物中的有害物质随渗滤液渗入土壤，使地下水污染；较小颗粒随风飘迁，落入地面水，使其污染；将危险废物直接排入江、河、湖、海，会造成更大的污染。</w:t>
            </w:r>
          </w:p>
          <w:p w14:paraId="75274451">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②对大气的污染废物本身蒸发、升华及有机废物被微生物分解而释放出有害气体污染大气；废物中的细颗粒、粉末随风飘逸，扩散到空气中，造成大气的粉尘污染；在废物运输、储存、利用、处理处置过程中，产生有害气体和粉尘；气态废物直接排放到大气中。</w:t>
            </w:r>
          </w:p>
          <w:p w14:paraId="00686593">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③对土壤的污染有害废物的粉尘、颗粒随风飘落在土壤表面，而后进入土壤中污染土壤；液体、半固体(污泥)有害废物在存放过程中或抛弃后洒漏地面，渗入土壤；废物中的有害物质随渗滤液渗入土壤；废物直接掩埋在地下，有害成分混入土壤中污染土壤。</w:t>
            </w:r>
          </w:p>
          <w:p w14:paraId="6C4E610E">
            <w:pPr>
              <w:pStyle w:val="36"/>
              <w:numPr>
                <w:ilvl w:val="0"/>
                <w:numId w:val="0"/>
              </w:numPr>
              <w:spacing w:line="360" w:lineRule="auto"/>
              <w:ind w:firstLine="482" w:firstLineChars="200"/>
              <w:rPr>
                <w:rFonts w:hint="default" w:ascii="宋体" w:hAnsi="宋体" w:eastAsia="宋体" w:cs="宋体"/>
                <w:sz w:val="24"/>
                <w:szCs w:val="24"/>
                <w:lang w:val="en-US" w:eastAsia="zh-CN"/>
              </w:rPr>
            </w:pPr>
            <w:r>
              <w:rPr>
                <w:rFonts w:hint="eastAsia" w:ascii="宋体" w:hAnsi="宋体" w:cs="宋体"/>
                <w:b/>
                <w:bCs/>
                <w:sz w:val="24"/>
                <w:szCs w:val="24"/>
                <w:lang w:val="en-US" w:eastAsia="zh-CN"/>
              </w:rPr>
              <w:t>（1）危险废物防治措施</w:t>
            </w:r>
          </w:p>
          <w:p w14:paraId="42921490">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建设单位应建立严格危险废物管理体系，将危险委托具有危废处理资质单位处置，禁止将危险废物提供或委托给无危险废物经营许可证的单位。严格执行危废五联单转移制度等管理要求，并做到：坚持减量化、资源化、无害化原则，妥善利用或处置产生的危险废物；规范危险废物贮存场所建设，根据危险废物的种类和特性进行分区、分类贮存，按照相关规范要求，设置防雨、防扬散、防渗漏等设施；按照国家和本市有关要求制定危险废物年度管理计划，并进行在线申报备案；结合自身实际，建立危险废物台账，如实记载危险废物的种类、数量、性质、产生环节、流向、贮存、利用处置等信息，并在信息系统中及时申报，申报数据应与台账、管理计划数据相一致。</w:t>
            </w:r>
          </w:p>
          <w:p w14:paraId="5103342D">
            <w:pPr>
              <w:pStyle w:val="36"/>
              <w:numPr>
                <w:ilvl w:val="0"/>
                <w:numId w:val="0"/>
              </w:numPr>
              <w:spacing w:line="360" w:lineRule="auto"/>
              <w:ind w:firstLine="482" w:firstLineChars="200"/>
              <w:rPr>
                <w:rFonts w:hint="default" w:ascii="宋体" w:hAnsi="宋体" w:cs="宋体"/>
                <w:b/>
                <w:bCs/>
                <w:sz w:val="24"/>
                <w:szCs w:val="24"/>
                <w:lang w:val="en-US" w:eastAsia="zh-CN"/>
              </w:rPr>
            </w:pPr>
            <w:r>
              <w:rPr>
                <w:rFonts w:hint="eastAsia" w:ascii="宋体" w:hAnsi="宋体" w:cs="宋体"/>
                <w:b/>
                <w:bCs/>
                <w:sz w:val="24"/>
                <w:szCs w:val="24"/>
                <w:lang w:val="en-US" w:eastAsia="zh-CN"/>
              </w:rPr>
              <w:t>（2）危险废物贮存场所环境影响分析</w:t>
            </w:r>
          </w:p>
          <w:p w14:paraId="6B060682">
            <w:pPr>
              <w:pStyle w:val="36"/>
              <w:numPr>
                <w:ilvl w:val="0"/>
                <w:numId w:val="0"/>
              </w:numPr>
              <w:spacing w:line="360" w:lineRule="auto"/>
              <w:ind w:firstLine="480" w:firstLineChars="200"/>
              <w:jc w:val="both"/>
              <w:rPr>
                <w:rFonts w:hint="eastAsia" w:ascii="宋体" w:hAnsi="宋体" w:eastAsia="宋体" w:cs="宋体"/>
                <w:sz w:val="24"/>
                <w:szCs w:val="24"/>
              </w:rPr>
            </w:pPr>
            <w:r>
              <w:rPr>
                <w:rFonts w:ascii="宋体" w:hAnsi="宋体" w:eastAsia="宋体" w:cs="宋体"/>
                <w:sz w:val="24"/>
                <w:szCs w:val="24"/>
              </w:rPr>
              <w:t>本项目拟建一处危废暂存间，位于</w:t>
            </w:r>
            <w:r>
              <w:rPr>
                <w:rFonts w:hint="eastAsia" w:ascii="宋体" w:hAnsi="宋体" w:eastAsia="宋体" w:cs="宋体"/>
                <w:sz w:val="24"/>
                <w:szCs w:val="24"/>
                <w:lang w:val="en-US" w:eastAsia="zh-CN"/>
              </w:rPr>
              <w:t>拆解车间内</w:t>
            </w:r>
            <w:r>
              <w:rPr>
                <w:rFonts w:ascii="宋体" w:hAnsi="宋体" w:eastAsia="宋体" w:cs="宋体"/>
                <w:sz w:val="24"/>
                <w:szCs w:val="24"/>
              </w:rPr>
              <w:t>，占地面积</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0</w:t>
            </w:r>
            <w:r>
              <w:rPr>
                <w:rFonts w:ascii="宋体" w:hAnsi="宋体" w:eastAsia="宋体" w:cs="宋体"/>
                <w:sz w:val="24"/>
                <w:szCs w:val="24"/>
              </w:rPr>
              <w:t>0m</w:t>
            </w:r>
            <w:r>
              <w:rPr>
                <w:rFonts w:ascii="宋体" w:hAnsi="宋体" w:eastAsia="宋体" w:cs="宋体"/>
                <w:sz w:val="24"/>
                <w:szCs w:val="24"/>
                <w:vertAlign w:val="superscript"/>
              </w:rPr>
              <w:t>2</w:t>
            </w:r>
            <w:r>
              <w:rPr>
                <w:rFonts w:ascii="宋体" w:hAnsi="宋体" w:eastAsia="宋体" w:cs="宋体"/>
                <w:sz w:val="24"/>
                <w:szCs w:val="24"/>
              </w:rPr>
              <w:t>，有效容积为</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00</w:t>
            </w:r>
            <w:r>
              <w:rPr>
                <w:rFonts w:ascii="宋体" w:hAnsi="宋体" w:eastAsia="宋体" w:cs="宋体"/>
                <w:sz w:val="24"/>
                <w:szCs w:val="24"/>
              </w:rPr>
              <w:t>m</w:t>
            </w:r>
            <w:r>
              <w:rPr>
                <w:rFonts w:ascii="宋体" w:hAnsi="宋体" w:eastAsia="宋体" w:cs="宋体"/>
                <w:sz w:val="24"/>
                <w:szCs w:val="24"/>
                <w:vertAlign w:val="superscript"/>
              </w:rPr>
              <w:t>3</w:t>
            </w:r>
            <w:r>
              <w:rPr>
                <w:rFonts w:ascii="宋体" w:hAnsi="宋体" w:eastAsia="宋体" w:cs="宋体"/>
                <w:sz w:val="24"/>
                <w:szCs w:val="24"/>
              </w:rPr>
              <w:t>，</w:t>
            </w:r>
            <w:r>
              <w:rPr>
                <w:rFonts w:hint="eastAsia" w:ascii="宋体" w:hAnsi="宋体" w:eastAsia="宋体" w:cs="宋体"/>
                <w:sz w:val="24"/>
                <w:szCs w:val="24"/>
              </w:rPr>
              <w:t>本项目危险废物全部采用硬质桶桶装密闭储存，贮存过程中挥发量较少，不会对环境空气产生明显影响</w:t>
            </w:r>
            <w:r>
              <w:rPr>
                <w:rFonts w:hint="eastAsia" w:ascii="宋体" w:hAnsi="宋体" w:cs="宋体"/>
                <w:sz w:val="24"/>
                <w:szCs w:val="24"/>
                <w:lang w:eastAsia="zh-CN"/>
              </w:rPr>
              <w:t>；</w:t>
            </w:r>
            <w:r>
              <w:rPr>
                <w:rFonts w:hint="eastAsia" w:ascii="宋体" w:hAnsi="宋体" w:eastAsia="宋体" w:cs="宋体"/>
                <w:sz w:val="24"/>
                <w:szCs w:val="24"/>
              </w:rPr>
              <w:t>同时根据</w:t>
            </w:r>
            <w:r>
              <w:rPr>
                <w:rFonts w:hint="eastAsia" w:ascii="宋体" w:hAnsi="宋体" w:eastAsia="宋体" w:cs="宋体"/>
                <w:sz w:val="24"/>
                <w:szCs w:val="24"/>
                <w:lang w:val="en-US" w:eastAsia="zh-CN"/>
              </w:rPr>
              <w:t>《危险废物贮存污染控制标准》（GB18597-2023）</w:t>
            </w:r>
            <w:r>
              <w:rPr>
                <w:rFonts w:hint="eastAsia" w:ascii="宋体" w:hAnsi="宋体" w:eastAsia="宋体" w:cs="宋体"/>
                <w:sz w:val="24"/>
                <w:szCs w:val="24"/>
              </w:rPr>
              <w:t>的相关要求，危废暂存间的地面和四周围挡均进行防渗处理，保证防渗层渗透系数</w:t>
            </w:r>
            <w:r>
              <w:rPr>
                <w:rFonts w:hint="eastAsia" w:ascii="宋体" w:hAnsi="宋体" w:cs="宋体"/>
                <w:sz w:val="24"/>
                <w:szCs w:val="24"/>
                <w:lang w:val="en-US" w:eastAsia="zh-CN"/>
              </w:rPr>
              <w:t>不</w:t>
            </w:r>
            <w:r>
              <w:rPr>
                <w:rFonts w:hint="eastAsia" w:ascii="宋体" w:hAnsi="宋体" w:eastAsia="宋体" w:cs="宋体"/>
                <w:sz w:val="24"/>
                <w:szCs w:val="24"/>
              </w:rPr>
              <w:t>小于</w:t>
            </w:r>
            <w:r>
              <w:rPr>
                <w:rFonts w:ascii="宋体" w:hAnsi="宋体" w:eastAsia="宋体" w:cs="宋体"/>
                <w:sz w:val="24"/>
                <w:szCs w:val="24"/>
              </w:rPr>
              <w:t>1.0×10</w:t>
            </w:r>
            <w:r>
              <w:rPr>
                <w:rFonts w:ascii="宋体" w:hAnsi="宋体" w:eastAsia="宋体" w:cs="宋体"/>
                <w:sz w:val="24"/>
                <w:szCs w:val="24"/>
                <w:vertAlign w:val="superscript"/>
              </w:rPr>
              <w:t>-7</w:t>
            </w:r>
            <w:r>
              <w:rPr>
                <w:rFonts w:ascii="宋体" w:hAnsi="宋体" w:eastAsia="宋体" w:cs="宋体"/>
                <w:sz w:val="24"/>
                <w:szCs w:val="24"/>
              </w:rPr>
              <w:t>cm/s</w:t>
            </w:r>
            <w:r>
              <w:rPr>
                <w:rFonts w:hint="eastAsia" w:ascii="宋体" w:hAnsi="宋体" w:eastAsia="宋体" w:cs="宋体"/>
                <w:sz w:val="24"/>
                <w:szCs w:val="24"/>
              </w:rPr>
              <w:t>，同时设置泄漏液体的收集装置，可对泄漏的液体危险废物进行收集，并防止其下渗，可有效防止危险废物泄漏可能对地下水、地表水及土壤环境的产生影响。</w:t>
            </w:r>
          </w:p>
          <w:p w14:paraId="32E5D34F">
            <w:pPr>
              <w:pStyle w:val="36"/>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危险废物暂存间的运行与管理应按照下列要求执行</w:t>
            </w:r>
            <w:r>
              <w:rPr>
                <w:rFonts w:hint="eastAsia" w:ascii="宋体" w:hAnsi="宋体" w:cs="宋体"/>
                <w:sz w:val="24"/>
                <w:szCs w:val="24"/>
                <w:lang w:eastAsia="zh-CN"/>
              </w:rPr>
              <w:t>：</w:t>
            </w:r>
          </w:p>
          <w:p w14:paraId="5F7183FD">
            <w:pPr>
              <w:pStyle w:val="36"/>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a．不得将不相容的废物混合或合并存放</w:t>
            </w:r>
            <w:r>
              <w:rPr>
                <w:rFonts w:hint="eastAsia" w:ascii="宋体" w:hAnsi="宋体" w:cs="宋体"/>
                <w:sz w:val="24"/>
                <w:szCs w:val="24"/>
                <w:lang w:eastAsia="zh-CN"/>
              </w:rPr>
              <w:t>；</w:t>
            </w:r>
          </w:p>
          <w:p w14:paraId="7A28B1C0">
            <w:pPr>
              <w:pStyle w:val="36"/>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b．须做好危险废物情况的记录，记录上须注明危险废物的名称、</w:t>
            </w:r>
            <w:r>
              <w:rPr>
                <w:rFonts w:hint="eastAsia" w:ascii="宋体" w:hAnsi="宋体" w:cs="宋体"/>
                <w:sz w:val="24"/>
                <w:szCs w:val="24"/>
                <w:lang w:val="en-US" w:eastAsia="zh-CN"/>
              </w:rPr>
              <w:t>来</w:t>
            </w:r>
            <w:r>
              <w:rPr>
                <w:rFonts w:hint="eastAsia" w:ascii="宋体" w:hAnsi="宋体" w:eastAsia="宋体" w:cs="宋体"/>
                <w:sz w:val="24"/>
                <w:szCs w:val="24"/>
              </w:rPr>
              <w:t>源、数量、特性和包装容器的类别、入库日期、存放库位、废物出库日期及接收单位名称。危险废物的记录和货单在危险废物回取后应继续保留三年</w:t>
            </w:r>
            <w:r>
              <w:rPr>
                <w:rFonts w:hint="eastAsia" w:ascii="宋体" w:hAnsi="宋体" w:cs="宋体"/>
                <w:sz w:val="24"/>
                <w:szCs w:val="24"/>
                <w:lang w:eastAsia="zh-CN"/>
              </w:rPr>
              <w:t>；</w:t>
            </w:r>
          </w:p>
          <w:p w14:paraId="0E671623">
            <w:pPr>
              <w:pStyle w:val="36"/>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c．必须定期对所贮存的危险废物包装容器及贮存设施进行检查，发现破损，应及时采取措施清理更换。</w:t>
            </w:r>
          </w:p>
          <w:p w14:paraId="69A6F588">
            <w:pPr>
              <w:pStyle w:val="36"/>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收集危险废物的硬质桶应按要求设置明显的表明危险废物相关信息的标签,标签信息应填写完整翔实。具体要求如下</w:t>
            </w:r>
            <w:r>
              <w:rPr>
                <w:rFonts w:hint="eastAsia" w:ascii="宋体" w:hAnsi="宋体" w:cs="宋体"/>
                <w:sz w:val="24"/>
                <w:szCs w:val="24"/>
                <w:lang w:eastAsia="zh-CN"/>
              </w:rPr>
              <w:t>：</w:t>
            </w:r>
          </w:p>
          <w:p w14:paraId="18BDAEAA">
            <w:pPr>
              <w:pStyle w:val="36"/>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a．危险废物标签规格颜色说明</w:t>
            </w:r>
            <w:r>
              <w:rPr>
                <w:rFonts w:hint="eastAsia" w:ascii="宋体" w:hAnsi="宋体" w:cs="宋体"/>
                <w:sz w:val="24"/>
                <w:szCs w:val="24"/>
                <w:lang w:eastAsia="zh-CN"/>
              </w:rPr>
              <w:t>：</w:t>
            </w:r>
            <w:r>
              <w:rPr>
                <w:rFonts w:hint="eastAsia" w:ascii="宋体" w:hAnsi="宋体" w:eastAsia="宋体" w:cs="宋体"/>
                <w:sz w:val="24"/>
                <w:szCs w:val="24"/>
              </w:rPr>
              <w:t>规格</w:t>
            </w:r>
            <w:r>
              <w:rPr>
                <w:rFonts w:hint="eastAsia" w:ascii="宋体" w:hAnsi="宋体" w:cs="宋体"/>
                <w:sz w:val="24"/>
                <w:szCs w:val="24"/>
                <w:lang w:eastAsia="zh-CN"/>
              </w:rPr>
              <w:t>：</w:t>
            </w:r>
            <w:r>
              <w:rPr>
                <w:rFonts w:hint="eastAsia" w:ascii="宋体" w:hAnsi="宋体" w:eastAsia="宋体" w:cs="宋体"/>
                <w:sz w:val="24"/>
                <w:szCs w:val="24"/>
              </w:rPr>
              <w:t>正方形，40×40cm</w:t>
            </w:r>
            <w:r>
              <w:rPr>
                <w:rFonts w:hint="eastAsia" w:ascii="宋体" w:hAnsi="宋体" w:cs="宋体"/>
                <w:sz w:val="24"/>
                <w:szCs w:val="24"/>
                <w:lang w:eastAsia="zh-CN"/>
              </w:rPr>
              <w:t>；</w:t>
            </w:r>
            <w:r>
              <w:rPr>
                <w:rFonts w:hint="eastAsia" w:ascii="宋体" w:hAnsi="宋体" w:eastAsia="宋体" w:cs="宋体"/>
                <w:sz w:val="24"/>
                <w:szCs w:val="24"/>
              </w:rPr>
              <w:t>底色</w:t>
            </w:r>
            <w:r>
              <w:rPr>
                <w:rFonts w:hint="eastAsia" w:ascii="宋体" w:hAnsi="宋体" w:cs="宋体"/>
                <w:sz w:val="24"/>
                <w:szCs w:val="24"/>
                <w:lang w:eastAsia="zh-CN"/>
              </w:rPr>
              <w:t>：</w:t>
            </w:r>
            <w:r>
              <w:rPr>
                <w:rFonts w:hint="eastAsia" w:ascii="宋体" w:hAnsi="宋体" w:eastAsia="宋体" w:cs="宋体"/>
                <w:sz w:val="24"/>
                <w:szCs w:val="24"/>
              </w:rPr>
              <w:t>醒目的桔黄色</w:t>
            </w:r>
            <w:r>
              <w:rPr>
                <w:rFonts w:hint="eastAsia" w:ascii="宋体" w:hAnsi="宋体" w:cs="宋体"/>
                <w:sz w:val="24"/>
                <w:szCs w:val="24"/>
                <w:lang w:eastAsia="zh-CN"/>
              </w:rPr>
              <w:t>；</w:t>
            </w:r>
            <w:r>
              <w:rPr>
                <w:rFonts w:hint="eastAsia" w:ascii="宋体" w:hAnsi="宋体" w:eastAsia="宋体" w:cs="宋体"/>
                <w:sz w:val="24"/>
                <w:szCs w:val="24"/>
              </w:rPr>
              <w:t>字体</w:t>
            </w:r>
            <w:r>
              <w:rPr>
                <w:rFonts w:hint="eastAsia" w:ascii="宋体" w:hAnsi="宋体" w:cs="宋体"/>
                <w:sz w:val="24"/>
                <w:szCs w:val="24"/>
                <w:lang w:eastAsia="zh-CN"/>
              </w:rPr>
              <w:t>：</w:t>
            </w:r>
            <w:r>
              <w:rPr>
                <w:rFonts w:hint="eastAsia" w:ascii="宋体" w:hAnsi="宋体" w:eastAsia="宋体" w:cs="宋体"/>
                <w:sz w:val="24"/>
                <w:szCs w:val="24"/>
              </w:rPr>
              <w:t>黑体字</w:t>
            </w:r>
            <w:r>
              <w:rPr>
                <w:rFonts w:hint="eastAsia" w:ascii="宋体" w:hAnsi="宋体" w:cs="宋体"/>
                <w:sz w:val="24"/>
                <w:szCs w:val="24"/>
                <w:lang w:eastAsia="zh-CN"/>
              </w:rPr>
              <w:t>；</w:t>
            </w:r>
            <w:r>
              <w:rPr>
                <w:rFonts w:hint="eastAsia" w:ascii="宋体" w:hAnsi="宋体" w:eastAsia="宋体" w:cs="宋体"/>
                <w:sz w:val="24"/>
                <w:szCs w:val="24"/>
              </w:rPr>
              <w:t>字体颜色</w:t>
            </w:r>
            <w:r>
              <w:rPr>
                <w:rFonts w:hint="eastAsia" w:ascii="宋体" w:hAnsi="宋体" w:cs="宋体"/>
                <w:sz w:val="24"/>
                <w:szCs w:val="24"/>
                <w:lang w:eastAsia="zh-CN"/>
              </w:rPr>
              <w:t>：</w:t>
            </w:r>
            <w:r>
              <w:rPr>
                <w:rFonts w:hint="eastAsia" w:ascii="宋体" w:hAnsi="宋体" w:eastAsia="宋体" w:cs="宋体"/>
                <w:sz w:val="24"/>
                <w:szCs w:val="24"/>
              </w:rPr>
              <w:t>黑色。</w:t>
            </w:r>
          </w:p>
          <w:p w14:paraId="64E4021A">
            <w:pPr>
              <w:pStyle w:val="36"/>
              <w:numPr>
                <w:ilvl w:val="0"/>
                <w:numId w:val="0"/>
              </w:numPr>
              <w:spacing w:line="360" w:lineRule="auto"/>
              <w:ind w:firstLine="480" w:firstLineChars="200"/>
              <w:rPr>
                <w:rFonts w:hint="eastAsia" w:ascii="宋体" w:hAnsi="宋体" w:cs="宋体"/>
                <w:sz w:val="24"/>
                <w:szCs w:val="24"/>
                <w:lang w:eastAsia="zh-CN"/>
              </w:rPr>
            </w:pPr>
            <w:r>
              <w:rPr>
                <w:rFonts w:hint="eastAsia" w:ascii="宋体" w:hAnsi="宋体" w:eastAsia="宋体" w:cs="宋体"/>
                <w:sz w:val="24"/>
                <w:szCs w:val="24"/>
              </w:rPr>
              <w:t>b．危险废物类别</w:t>
            </w:r>
            <w:r>
              <w:rPr>
                <w:rFonts w:hint="eastAsia" w:ascii="宋体" w:hAnsi="宋体" w:cs="宋体"/>
                <w:sz w:val="24"/>
                <w:szCs w:val="24"/>
                <w:lang w:eastAsia="zh-CN"/>
              </w:rPr>
              <w:t>：</w:t>
            </w:r>
            <w:r>
              <w:rPr>
                <w:rFonts w:hint="eastAsia" w:ascii="宋体" w:hAnsi="宋体" w:eastAsia="宋体" w:cs="宋体"/>
                <w:sz w:val="24"/>
                <w:szCs w:val="24"/>
              </w:rPr>
              <w:t>按危险废物种类选择</w:t>
            </w:r>
            <w:r>
              <w:rPr>
                <w:rFonts w:hint="eastAsia" w:ascii="宋体" w:hAnsi="宋体" w:cs="宋体"/>
                <w:sz w:val="24"/>
                <w:szCs w:val="24"/>
                <w:lang w:eastAsia="zh-CN"/>
              </w:rPr>
              <w:t>；</w:t>
            </w:r>
          </w:p>
          <w:p w14:paraId="1B1C31BC">
            <w:pPr>
              <w:pStyle w:val="36"/>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c．材料应坚固、耐用、抗风化、抗淋蚀。</w:t>
            </w:r>
          </w:p>
          <w:p w14:paraId="702CB967">
            <w:pPr>
              <w:pStyle w:val="36"/>
              <w:numPr>
                <w:ilvl w:val="0"/>
                <w:numId w:val="0"/>
              </w:num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d、装载液体、固体的危险废物的硬质桶内必须留足够的空间，硬质桶顶部与液体表面之间保留100mm以上的空间</w:t>
            </w:r>
            <w:r>
              <w:rPr>
                <w:rFonts w:hint="eastAsia" w:ascii="宋体" w:hAnsi="宋体" w:cs="宋体"/>
                <w:sz w:val="24"/>
                <w:szCs w:val="24"/>
                <w:lang w:eastAsia="zh-CN"/>
              </w:rPr>
              <w:t>。</w:t>
            </w:r>
          </w:p>
          <w:p w14:paraId="436088D3">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本项目危险废物产生为</w:t>
            </w:r>
            <w:r>
              <w:rPr>
                <w:rFonts w:hint="eastAsia" w:ascii="宋体" w:hAnsi="宋体" w:eastAsia="宋体" w:cs="宋体"/>
                <w:sz w:val="24"/>
                <w:szCs w:val="24"/>
                <w:lang w:val="en-US" w:eastAsia="zh-CN"/>
              </w:rPr>
              <w:t>146.0638</w:t>
            </w:r>
            <w:r>
              <w:rPr>
                <w:rFonts w:ascii="宋体" w:hAnsi="宋体" w:eastAsia="宋体" w:cs="宋体"/>
                <w:sz w:val="24"/>
                <w:szCs w:val="24"/>
              </w:rPr>
              <w:t>t/a，通常情况下贮存周期为3个月，大部分危险废物盛装容器的单个约为容量200L（直径约为0.6m，高约0.8m），每个容器占用容积约0.3m</w:t>
            </w:r>
            <w:r>
              <w:rPr>
                <w:rFonts w:ascii="宋体" w:hAnsi="宋体" w:eastAsia="宋体" w:cs="宋体"/>
                <w:sz w:val="24"/>
                <w:szCs w:val="24"/>
                <w:vertAlign w:val="superscript"/>
              </w:rPr>
              <w:t>3</w:t>
            </w:r>
            <w:r>
              <w:rPr>
                <w:rFonts w:ascii="宋体" w:hAnsi="宋体" w:eastAsia="宋体" w:cs="宋体"/>
                <w:sz w:val="24"/>
                <w:szCs w:val="24"/>
              </w:rPr>
              <w:t>，故本项目危废暂存间满足生产运营期间所需储存能力。</w:t>
            </w:r>
          </w:p>
          <w:p w14:paraId="58A51551">
            <w:pPr>
              <w:pStyle w:val="36"/>
              <w:numPr>
                <w:ilvl w:val="0"/>
                <w:numId w:val="0"/>
              </w:numPr>
              <w:spacing w:line="360" w:lineRule="auto"/>
              <w:ind w:firstLine="482" w:firstLineChars="200"/>
              <w:rPr>
                <w:rFonts w:hint="default" w:ascii="宋体" w:hAnsi="宋体" w:eastAsia="宋体" w:cs="宋体"/>
                <w:sz w:val="24"/>
                <w:szCs w:val="24"/>
                <w:lang w:val="en-US" w:eastAsia="zh-CN"/>
              </w:rPr>
            </w:pPr>
            <w:r>
              <w:rPr>
                <w:rFonts w:hint="eastAsia" w:ascii="宋体" w:hAnsi="宋体" w:cs="宋体"/>
                <w:b/>
                <w:bCs/>
                <w:sz w:val="24"/>
                <w:szCs w:val="24"/>
                <w:lang w:val="en-US" w:eastAsia="zh-CN"/>
              </w:rPr>
              <w:t>（3）危险废物处置环境影响分析</w:t>
            </w:r>
          </w:p>
          <w:p w14:paraId="16734980">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目前</w:t>
            </w:r>
            <w:r>
              <w:rPr>
                <w:rFonts w:hint="eastAsia" w:ascii="宋体" w:hAnsi="宋体" w:eastAsia="宋体" w:cs="宋体"/>
                <w:sz w:val="24"/>
                <w:szCs w:val="24"/>
                <w:lang w:val="en-US" w:eastAsia="zh-CN"/>
              </w:rPr>
              <w:t>新疆</w:t>
            </w:r>
            <w:r>
              <w:rPr>
                <w:rFonts w:ascii="宋体" w:hAnsi="宋体" w:eastAsia="宋体" w:cs="宋体"/>
                <w:sz w:val="24"/>
                <w:szCs w:val="24"/>
              </w:rPr>
              <w:t>省内已有多家危险废物处置单位，本项目危险废物产生量为</w:t>
            </w:r>
            <w:r>
              <w:rPr>
                <w:rFonts w:hint="eastAsia" w:ascii="宋体" w:hAnsi="宋体" w:eastAsia="宋体" w:cs="宋体"/>
                <w:sz w:val="24"/>
                <w:szCs w:val="24"/>
                <w:lang w:val="en-US" w:eastAsia="zh-CN"/>
              </w:rPr>
              <w:t>146.0638</w:t>
            </w:r>
            <w:r>
              <w:rPr>
                <w:rFonts w:ascii="宋体" w:hAnsi="宋体" w:eastAsia="宋体" w:cs="宋体"/>
                <w:sz w:val="24"/>
                <w:szCs w:val="24"/>
              </w:rPr>
              <w:t>t/a，可完全委托有资质单位得到妥善处置。综上所述，本项目建成后产生的危险废物均可得到妥善处理，对周围环境不会产生明显影响，故危废暂存措施合理。</w:t>
            </w:r>
          </w:p>
          <w:p w14:paraId="332A674E">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cs="Times New Roman"/>
                <w:b/>
                <w:bCs/>
                <w:color w:val="auto"/>
                <w:kern w:val="44"/>
                <w:sz w:val="24"/>
                <w:szCs w:val="24"/>
                <w:highlight w:val="none"/>
                <w:lang w:val="en-US" w:eastAsia="zh-CN" w:bidi="ar-SA"/>
              </w:rPr>
              <w:t>4、分区防控措施</w:t>
            </w:r>
          </w:p>
          <w:p w14:paraId="0AF9B492">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企业应加强生产设备的管理，对可能产生无组织排放及跑、冒、滴、漏的场地进行防渗处理。根据项目各功能单元是否可能对地下水造成污染及其风险程度，将项目所在区域划分为重点防渗区、一般防渗区和简单防渗区。重点防渗区是可能会对地下水造成污染，风险程度较高或污染物浓度较高，需要重点防治或者需要重点保护的区域。一般防渗区是可能会对地下水造成污染，但危害性或风险程度相对较低的区域。简单防渗区为不会对地下水造成污染的区域。本项目防治分区详见附图。 </w:t>
            </w:r>
          </w:p>
          <w:p w14:paraId="2B11571B">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项目应对可能泄漏污染物的污染区和装置进行防渗处理，并及时地将泄漏、渗漏的污染物收集起来进行处理，可有效防止污染物渗入地下。根据国家相关标准和规范，结合目前施工过程中的可操作性和技术水平，针对不同的防渗区域采用不同的防治和防渗措施，在具体设计中可根据实际情况在满足防渗标准的前提下做必要调整。</w:t>
            </w:r>
          </w:p>
          <w:p w14:paraId="54C45461">
            <w:pPr>
              <w:pStyle w:val="36"/>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各分区防渗设计应符合下列要求：</w:t>
            </w:r>
          </w:p>
          <w:p w14:paraId="2AA1F16B">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①重点防渗区和一般防渗区应设置防渗层，一般防渗区的防渗性能应与1.5m厚黏土层(渗透系数1.0×10</w:t>
            </w:r>
            <w:r>
              <w:rPr>
                <w:rFonts w:ascii="宋体" w:hAnsi="宋体" w:eastAsia="宋体" w:cs="宋体"/>
                <w:sz w:val="24"/>
                <w:szCs w:val="24"/>
                <w:vertAlign w:val="superscript"/>
              </w:rPr>
              <w:t>-7</w:t>
            </w:r>
            <w:r>
              <w:rPr>
                <w:rFonts w:ascii="宋体" w:hAnsi="宋体" w:eastAsia="宋体" w:cs="宋体"/>
                <w:sz w:val="24"/>
                <w:szCs w:val="24"/>
              </w:rPr>
              <w:t>cm/s)等效或参照GB16889执行；重点防渗区的防渗性能应与6.0m厚黏土层(渗透系数1.0×10</w:t>
            </w:r>
            <w:r>
              <w:rPr>
                <w:rFonts w:ascii="宋体" w:hAnsi="宋体" w:eastAsia="宋体" w:cs="宋体"/>
                <w:sz w:val="24"/>
                <w:szCs w:val="24"/>
                <w:vertAlign w:val="superscript"/>
              </w:rPr>
              <w:t>-7</w:t>
            </w:r>
            <w:r>
              <w:rPr>
                <w:rFonts w:ascii="宋体" w:hAnsi="宋体" w:eastAsia="宋体" w:cs="宋体"/>
                <w:sz w:val="24"/>
                <w:szCs w:val="24"/>
              </w:rPr>
              <w:t>cm/s)等效或参照GB16889执行。（若建设单位有符合表4-</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4</w:t>
            </w:r>
            <w:r>
              <w:rPr>
                <w:rFonts w:ascii="宋体" w:hAnsi="宋体" w:eastAsia="宋体" w:cs="宋体"/>
                <w:sz w:val="24"/>
                <w:szCs w:val="24"/>
              </w:rPr>
              <w:t>的防渗要求的防渗措施也可以采用）</w:t>
            </w:r>
          </w:p>
          <w:p w14:paraId="47D8BAE3">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②防渗措施：一般防渗区采用双层复合防渗结构，基础防渗层为至少1.5米厚黏土层（渗透系数≤10</w:t>
            </w:r>
            <w:r>
              <w:rPr>
                <w:rFonts w:ascii="宋体" w:hAnsi="宋体" w:eastAsia="宋体" w:cs="宋体"/>
                <w:sz w:val="24"/>
                <w:szCs w:val="24"/>
                <w:vertAlign w:val="superscript"/>
              </w:rPr>
              <w:t>-7</w:t>
            </w:r>
            <w:r>
              <w:rPr>
                <w:rFonts w:ascii="宋体" w:hAnsi="宋体" w:eastAsia="宋体" w:cs="宋体"/>
                <w:sz w:val="24"/>
                <w:szCs w:val="24"/>
              </w:rPr>
              <w:t>cm/s），重点防渗区可采用至少2毫米厚的其他人工材料（渗透系数≤10</w:t>
            </w:r>
            <w:r>
              <w:rPr>
                <w:rFonts w:ascii="宋体" w:hAnsi="宋体" w:eastAsia="宋体" w:cs="宋体"/>
                <w:sz w:val="24"/>
                <w:szCs w:val="24"/>
                <w:vertAlign w:val="superscript"/>
              </w:rPr>
              <w:t>-10</w:t>
            </w:r>
            <w:r>
              <w:rPr>
                <w:rFonts w:ascii="宋体" w:hAnsi="宋体" w:eastAsia="宋体" w:cs="宋体"/>
                <w:sz w:val="24"/>
                <w:szCs w:val="24"/>
              </w:rPr>
              <w:t>cm/s）；或面层可采用防渗涂料面层或防渗钢筋钢纤维混凝土面层（渗透系数≤10</w:t>
            </w:r>
            <w:r>
              <w:rPr>
                <w:rFonts w:ascii="宋体" w:hAnsi="宋体" w:eastAsia="宋体" w:cs="宋体"/>
                <w:sz w:val="24"/>
                <w:szCs w:val="24"/>
                <w:vertAlign w:val="superscript"/>
              </w:rPr>
              <w:t>-12</w:t>
            </w:r>
            <w:r>
              <w:rPr>
                <w:rFonts w:ascii="宋体" w:hAnsi="宋体" w:eastAsia="宋体" w:cs="宋体"/>
                <w:sz w:val="24"/>
                <w:szCs w:val="24"/>
              </w:rPr>
              <w:t>cm/s）。简单防渗区可采用一般地面硬化进行防渗。（若建设单位有符合表4-1</w:t>
            </w:r>
            <w:r>
              <w:rPr>
                <w:rFonts w:hint="eastAsia" w:ascii="宋体" w:hAnsi="宋体" w:cs="宋体"/>
                <w:sz w:val="24"/>
                <w:szCs w:val="24"/>
                <w:lang w:val="en-US" w:eastAsia="zh-CN"/>
              </w:rPr>
              <w:t>4</w:t>
            </w:r>
            <w:r>
              <w:rPr>
                <w:rFonts w:ascii="宋体" w:hAnsi="宋体" w:eastAsia="宋体" w:cs="宋体"/>
                <w:sz w:val="24"/>
                <w:szCs w:val="24"/>
              </w:rPr>
              <w:t>的防渗要求的防渗措施也可以采用）。</w:t>
            </w:r>
          </w:p>
          <w:p w14:paraId="03C8F4AF">
            <w:pPr>
              <w:pStyle w:val="36"/>
              <w:numPr>
                <w:ilvl w:val="0"/>
                <w:numId w:val="0"/>
              </w:numPr>
              <w:spacing w:line="360" w:lineRule="auto"/>
              <w:ind w:firstLine="480" w:firstLineChars="200"/>
              <w:rPr>
                <w:rFonts w:ascii="宋体" w:hAnsi="宋体" w:eastAsia="宋体" w:cs="宋体"/>
                <w:sz w:val="24"/>
                <w:szCs w:val="24"/>
              </w:rPr>
            </w:pPr>
            <w:r>
              <w:rPr>
                <w:rFonts w:ascii="宋体" w:hAnsi="宋体" w:eastAsia="宋体" w:cs="宋体"/>
                <w:sz w:val="24"/>
                <w:szCs w:val="24"/>
              </w:rPr>
              <w:t>根据现场勘查，本项目作业区域主要为车辆拆解车间，考虑到防渗漏的重要性为确保防渗效果最大化，项目车辆拆解车间全车间进行重点防渗；本项目建设过程中对报废汽车存放区地面采取一般防渗处理；其他区域采取简单防渗处理。</w:t>
            </w:r>
          </w:p>
          <w:p w14:paraId="766CC8C2">
            <w:pPr>
              <w:jc w:val="both"/>
              <w:rPr>
                <w:rFonts w:hint="default" w:ascii="宋体" w:hAnsi="宋体" w:eastAsia="宋体" w:cs="宋体"/>
                <w:sz w:val="24"/>
                <w:szCs w:val="24"/>
                <w:lang w:val="en-US" w:eastAsia="zh-CN"/>
              </w:rPr>
            </w:pPr>
            <w:r>
              <w:rPr>
                <w:rFonts w:hint="eastAsia"/>
                <w:b/>
                <w:color w:val="auto"/>
                <w:sz w:val="24"/>
                <w:lang w:val="en-US" w:eastAsia="zh-CN"/>
              </w:rPr>
              <w:t>表4-14                  污染防渗分区措施</w:t>
            </w:r>
          </w:p>
          <w:tbl>
            <w:tblPr>
              <w:tblStyle w:val="29"/>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410"/>
              <w:gridCol w:w="1515"/>
              <w:gridCol w:w="1530"/>
              <w:gridCol w:w="3371"/>
            </w:tblGrid>
            <w:tr w14:paraId="69B9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3949B7E2">
                  <w:pPr>
                    <w:pStyle w:val="68"/>
                    <w:jc w:val="center"/>
                    <w:rPr>
                      <w:rFonts w:hint="default"/>
                      <w:color w:val="auto"/>
                      <w:lang w:val="en-US" w:eastAsia="zh-CN"/>
                    </w:rPr>
                  </w:pPr>
                  <w:r>
                    <w:rPr>
                      <w:rFonts w:hint="eastAsia"/>
                      <w:color w:val="auto"/>
                      <w:lang w:val="en-US" w:eastAsia="zh-CN"/>
                    </w:rPr>
                    <w:t>序号</w:t>
                  </w:r>
                </w:p>
              </w:tc>
              <w:tc>
                <w:tcPr>
                  <w:tcW w:w="2925" w:type="dxa"/>
                  <w:gridSpan w:val="2"/>
                  <w:vAlign w:val="center"/>
                </w:tcPr>
                <w:p w14:paraId="2A17F91B">
                  <w:pPr>
                    <w:pStyle w:val="68"/>
                    <w:jc w:val="center"/>
                    <w:rPr>
                      <w:rFonts w:hint="default"/>
                      <w:color w:val="auto"/>
                      <w:lang w:val="en-US" w:eastAsia="zh-CN"/>
                    </w:rPr>
                  </w:pPr>
                  <w:r>
                    <w:rPr>
                      <w:rFonts w:hint="eastAsia"/>
                      <w:color w:val="auto"/>
                      <w:lang w:val="en-US" w:eastAsia="zh-CN"/>
                    </w:rPr>
                    <w:t>防渗区域或部位</w:t>
                  </w:r>
                </w:p>
              </w:tc>
              <w:tc>
                <w:tcPr>
                  <w:tcW w:w="1530" w:type="dxa"/>
                  <w:vAlign w:val="center"/>
                </w:tcPr>
                <w:p w14:paraId="0912C260">
                  <w:pPr>
                    <w:pStyle w:val="68"/>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防渗等级</w:t>
                  </w:r>
                </w:p>
              </w:tc>
              <w:tc>
                <w:tcPr>
                  <w:tcW w:w="3371" w:type="dxa"/>
                  <w:vAlign w:val="center"/>
                </w:tcPr>
                <w:p w14:paraId="346CD14E">
                  <w:pPr>
                    <w:pStyle w:val="68"/>
                    <w:jc w:val="center"/>
                    <w:rPr>
                      <w:rFonts w:hint="default"/>
                      <w:color w:val="auto"/>
                      <w:lang w:val="en-US" w:eastAsia="zh-CN"/>
                    </w:rPr>
                  </w:pPr>
                  <w:r>
                    <w:rPr>
                      <w:rFonts w:hint="eastAsia"/>
                      <w:color w:val="auto"/>
                      <w:lang w:val="en-US" w:eastAsia="zh-CN"/>
                    </w:rPr>
                    <w:t>防渗要求</w:t>
                  </w:r>
                </w:p>
              </w:tc>
            </w:tr>
            <w:tr w14:paraId="0D26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7F47A012">
                  <w:pPr>
                    <w:pStyle w:val="68"/>
                    <w:jc w:val="center"/>
                    <w:rPr>
                      <w:rFonts w:hint="default"/>
                      <w:color w:val="auto"/>
                      <w:lang w:val="en-US" w:eastAsia="zh-CN"/>
                    </w:rPr>
                  </w:pPr>
                  <w:r>
                    <w:rPr>
                      <w:rFonts w:hint="eastAsia"/>
                      <w:color w:val="auto"/>
                      <w:lang w:val="en-US" w:eastAsia="zh-CN"/>
                    </w:rPr>
                    <w:t>1</w:t>
                  </w:r>
                </w:p>
              </w:tc>
              <w:tc>
                <w:tcPr>
                  <w:tcW w:w="1410" w:type="dxa"/>
                  <w:vAlign w:val="center"/>
                </w:tcPr>
                <w:p w14:paraId="6947502E">
                  <w:pPr>
                    <w:pStyle w:val="68"/>
                    <w:jc w:val="center"/>
                    <w:rPr>
                      <w:rFonts w:hint="default"/>
                      <w:color w:val="auto"/>
                      <w:lang w:val="en-US" w:eastAsia="zh-CN"/>
                    </w:rPr>
                  </w:pPr>
                  <w:r>
                    <w:rPr>
                      <w:rFonts w:hint="default"/>
                      <w:color w:val="auto"/>
                      <w:lang w:val="en-US" w:eastAsia="zh-CN"/>
                    </w:rPr>
                    <w:t>危废暂存间、车辆拆解车间</w:t>
                  </w:r>
                </w:p>
              </w:tc>
              <w:tc>
                <w:tcPr>
                  <w:tcW w:w="1515" w:type="dxa"/>
                  <w:vAlign w:val="center"/>
                </w:tcPr>
                <w:p w14:paraId="7A561360">
                  <w:pPr>
                    <w:pStyle w:val="68"/>
                    <w:jc w:val="center"/>
                    <w:rPr>
                      <w:rFonts w:hint="default"/>
                      <w:color w:val="auto"/>
                      <w:lang w:val="en-US" w:eastAsia="zh-CN"/>
                    </w:rPr>
                  </w:pPr>
                  <w:r>
                    <w:rPr>
                      <w:rFonts w:hint="default"/>
                      <w:color w:val="auto"/>
                      <w:lang w:val="en-US" w:eastAsia="zh-CN"/>
                    </w:rPr>
                    <w:t>危废暂存间、车辆拆解车间、墙裙</w:t>
                  </w:r>
                </w:p>
              </w:tc>
              <w:tc>
                <w:tcPr>
                  <w:tcW w:w="1530" w:type="dxa"/>
                  <w:vAlign w:val="center"/>
                </w:tcPr>
                <w:p w14:paraId="4EAE9F8D">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重点防渗区</w:t>
                  </w:r>
                </w:p>
              </w:tc>
              <w:tc>
                <w:tcPr>
                  <w:tcW w:w="3371" w:type="dxa"/>
                  <w:vAlign w:val="center"/>
                </w:tcPr>
                <w:p w14:paraId="57B57FAE">
                  <w:pPr>
                    <w:pStyle w:val="67"/>
                    <w:autoSpaceDE w:val="0"/>
                    <w:autoSpaceDN w:val="0"/>
                    <w:rPr>
                      <w:rFonts w:hint="default"/>
                      <w:color w:val="auto"/>
                      <w:lang w:val="en-US" w:eastAsia="zh-CN"/>
                    </w:rPr>
                  </w:pPr>
                  <w:r>
                    <w:rPr>
                      <w:rFonts w:ascii="Times New Roman" w:hAnsi="Times New Roman"/>
                      <w:color w:val="auto"/>
                      <w:szCs w:val="21"/>
                      <w:lang w:eastAsia="zh-CN"/>
                    </w:rPr>
                    <w:t>等效黏土防渗层Mb≥6.0m，渗透系数K≤10</w:t>
                  </w:r>
                  <w:r>
                    <w:rPr>
                      <w:rFonts w:ascii="Times New Roman" w:hAnsi="Times New Roman"/>
                      <w:color w:val="auto"/>
                      <w:szCs w:val="21"/>
                      <w:vertAlign w:val="superscript"/>
                      <w:lang w:eastAsia="zh-CN"/>
                    </w:rPr>
                    <w:t>-7</w:t>
                  </w:r>
                  <w:r>
                    <w:rPr>
                      <w:rFonts w:ascii="Times New Roman" w:hAnsi="Times New Roman"/>
                      <w:color w:val="auto"/>
                      <w:szCs w:val="21"/>
                      <w:lang w:eastAsia="zh-CN"/>
                    </w:rPr>
                    <w:t>cm/s；或参照GB18598执行</w:t>
                  </w:r>
                </w:p>
              </w:tc>
            </w:tr>
            <w:tr w14:paraId="7F2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0912FF45">
                  <w:pPr>
                    <w:pStyle w:val="68"/>
                    <w:jc w:val="center"/>
                    <w:rPr>
                      <w:rFonts w:hint="default"/>
                      <w:color w:val="auto"/>
                      <w:lang w:val="en-US" w:eastAsia="zh-CN"/>
                    </w:rPr>
                  </w:pPr>
                  <w:r>
                    <w:rPr>
                      <w:rFonts w:hint="eastAsia"/>
                      <w:color w:val="auto"/>
                      <w:lang w:val="en-US" w:eastAsia="zh-CN"/>
                    </w:rPr>
                    <w:t>2</w:t>
                  </w:r>
                </w:p>
              </w:tc>
              <w:tc>
                <w:tcPr>
                  <w:tcW w:w="1410" w:type="dxa"/>
                  <w:vAlign w:val="center"/>
                </w:tcPr>
                <w:p w14:paraId="118B112A">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报废汽车存放区</w:t>
                  </w:r>
                </w:p>
              </w:tc>
              <w:tc>
                <w:tcPr>
                  <w:tcW w:w="1515" w:type="dxa"/>
                  <w:vAlign w:val="center"/>
                </w:tcPr>
                <w:p w14:paraId="38FB0274">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地面</w:t>
                  </w:r>
                </w:p>
              </w:tc>
              <w:tc>
                <w:tcPr>
                  <w:tcW w:w="1530" w:type="dxa"/>
                  <w:vAlign w:val="center"/>
                </w:tcPr>
                <w:p w14:paraId="6F725AE3">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一般防渗区</w:t>
                  </w:r>
                </w:p>
              </w:tc>
              <w:tc>
                <w:tcPr>
                  <w:tcW w:w="3371" w:type="dxa"/>
                  <w:vAlign w:val="center"/>
                </w:tcPr>
                <w:p w14:paraId="663A09C7">
                  <w:pPr>
                    <w:pStyle w:val="67"/>
                    <w:autoSpaceDE w:val="0"/>
                    <w:autoSpaceDN w:val="0"/>
                    <w:rPr>
                      <w:rFonts w:hint="default"/>
                      <w:color w:val="auto"/>
                      <w:lang w:val="en-US" w:eastAsia="zh-CN"/>
                    </w:rPr>
                  </w:pPr>
                  <w:r>
                    <w:rPr>
                      <w:rFonts w:ascii="Times New Roman" w:hAnsi="Times New Roman"/>
                      <w:color w:val="auto"/>
                      <w:szCs w:val="21"/>
                      <w:lang w:eastAsia="en-US"/>
                    </w:rPr>
                    <w:t>等效黏土防渗层 Mb≥1.5m，</w:t>
                  </w:r>
                  <w:r>
                    <w:rPr>
                      <w:rFonts w:ascii="Times New Roman" w:hAnsi="Times New Roman"/>
                      <w:color w:val="auto"/>
                      <w:szCs w:val="21"/>
                      <w:lang w:eastAsia="zh-CN"/>
                    </w:rPr>
                    <w:t>渗透系数K≤10</w:t>
                  </w:r>
                  <w:r>
                    <w:rPr>
                      <w:rFonts w:ascii="Times New Roman" w:hAnsi="Times New Roman"/>
                      <w:color w:val="auto"/>
                      <w:szCs w:val="21"/>
                      <w:vertAlign w:val="superscript"/>
                      <w:lang w:eastAsia="zh-CN"/>
                    </w:rPr>
                    <w:t>-7</w:t>
                  </w:r>
                  <w:r>
                    <w:rPr>
                      <w:rFonts w:ascii="Times New Roman" w:hAnsi="Times New Roman"/>
                      <w:color w:val="auto"/>
                      <w:szCs w:val="21"/>
                      <w:lang w:eastAsia="zh-CN"/>
                    </w:rPr>
                    <w:t>cm/s；或参照GB18598执行</w:t>
                  </w:r>
                </w:p>
              </w:tc>
            </w:tr>
            <w:tr w14:paraId="24AB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dxa"/>
                  <w:vAlign w:val="center"/>
                </w:tcPr>
                <w:p w14:paraId="66C154CF">
                  <w:pPr>
                    <w:pStyle w:val="68"/>
                    <w:jc w:val="center"/>
                    <w:rPr>
                      <w:rFonts w:hint="default"/>
                      <w:color w:val="auto"/>
                      <w:lang w:val="en-US" w:eastAsia="zh-CN"/>
                    </w:rPr>
                  </w:pPr>
                  <w:r>
                    <w:rPr>
                      <w:rFonts w:hint="eastAsia"/>
                      <w:color w:val="auto"/>
                      <w:lang w:val="en-US" w:eastAsia="zh-CN"/>
                    </w:rPr>
                    <w:t>3</w:t>
                  </w:r>
                </w:p>
              </w:tc>
              <w:tc>
                <w:tcPr>
                  <w:tcW w:w="1410" w:type="dxa"/>
                  <w:vAlign w:val="center"/>
                </w:tcPr>
                <w:p w14:paraId="3DD7C79F">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其他区域</w:t>
                  </w:r>
                </w:p>
              </w:tc>
              <w:tc>
                <w:tcPr>
                  <w:tcW w:w="1515" w:type="dxa"/>
                  <w:vAlign w:val="center"/>
                </w:tcPr>
                <w:p w14:paraId="7D63FDFB">
                  <w:pPr>
                    <w:pStyle w:val="68"/>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地面</w:t>
                  </w:r>
                </w:p>
              </w:tc>
              <w:tc>
                <w:tcPr>
                  <w:tcW w:w="1530" w:type="dxa"/>
                  <w:vAlign w:val="center"/>
                </w:tcPr>
                <w:p w14:paraId="73205CE5">
                  <w:pPr>
                    <w:pStyle w:val="68"/>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简单</w:t>
                  </w:r>
                  <w:r>
                    <w:rPr>
                      <w:rFonts w:hint="default" w:ascii="Times New Roman" w:hAnsi="Times New Roman" w:cs="Times New Roman"/>
                      <w:color w:val="auto"/>
                      <w:lang w:val="en-US" w:eastAsia="zh-CN"/>
                    </w:rPr>
                    <w:t>防渗区</w:t>
                  </w:r>
                </w:p>
              </w:tc>
              <w:tc>
                <w:tcPr>
                  <w:tcW w:w="3371" w:type="dxa"/>
                  <w:vAlign w:val="center"/>
                </w:tcPr>
                <w:p w14:paraId="382C0D75">
                  <w:pPr>
                    <w:pStyle w:val="67"/>
                    <w:autoSpaceDE w:val="0"/>
                    <w:autoSpaceDN w:val="0"/>
                    <w:rPr>
                      <w:rFonts w:hint="default"/>
                      <w:color w:val="auto"/>
                      <w:lang w:val="en-US" w:eastAsia="zh-CN"/>
                    </w:rPr>
                  </w:pPr>
                  <w:r>
                    <w:rPr>
                      <w:rFonts w:ascii="Times New Roman" w:hAnsi="Times New Roman"/>
                      <w:color w:val="auto"/>
                      <w:szCs w:val="21"/>
                      <w:lang w:eastAsia="en-US"/>
                    </w:rPr>
                    <w:t>一般地面硬化</w:t>
                  </w:r>
                </w:p>
              </w:tc>
            </w:tr>
          </w:tbl>
          <w:p w14:paraId="265B5F7A">
            <w:pPr>
              <w:adjustRightInd w:val="0"/>
              <w:spacing w:line="360" w:lineRule="auto"/>
              <w:rPr>
                <w:b/>
                <w:bCs/>
                <w:color w:val="auto"/>
                <w:kern w:val="0"/>
                <w:sz w:val="24"/>
              </w:rPr>
            </w:pPr>
            <w:r>
              <w:rPr>
                <w:rFonts w:hint="eastAsia"/>
                <w:b/>
                <w:bCs/>
                <w:color w:val="auto"/>
                <w:kern w:val="0"/>
                <w:sz w:val="24"/>
                <w:lang w:val="en-US" w:eastAsia="zh-CN"/>
              </w:rPr>
              <w:t>五、</w:t>
            </w:r>
            <w:r>
              <w:rPr>
                <w:b/>
                <w:bCs/>
                <w:color w:val="auto"/>
                <w:kern w:val="0"/>
                <w:sz w:val="24"/>
              </w:rPr>
              <w:t>环境风险分析</w:t>
            </w:r>
          </w:p>
          <w:p w14:paraId="5395AA24">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ascii="Times New Roman" w:hAnsi="Times New Roman" w:cs="Times New Roman"/>
                <w:b/>
                <w:bCs/>
                <w:color w:val="auto"/>
                <w:kern w:val="44"/>
                <w:sz w:val="24"/>
                <w:szCs w:val="24"/>
                <w:highlight w:val="none"/>
                <w:lang w:val="en-US" w:eastAsia="zh-CN" w:bidi="ar-SA"/>
              </w:rPr>
              <w:t>1、环境风险评价的目的</w:t>
            </w:r>
          </w:p>
          <w:p w14:paraId="4D172720">
            <w:pPr>
              <w:adjustRightInd w:val="0"/>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环境风险评价的目的是通过分析和预测项目存在的潜在危险、有害因素，建设项目运行期间可能发生的突发性事件或事故，引起有毒有害和易燃易爆等物质泄漏、爆炸和火灾，所造成的人身安全与环境影响和损害程度，提出合理可行的防范、应急与减缓措施，以使建设项目事故率达到可接受水平。</w:t>
            </w:r>
          </w:p>
          <w:p w14:paraId="50CB4895">
            <w:pPr>
              <w:adjustRightInd w:val="0"/>
              <w:spacing w:line="360" w:lineRule="auto"/>
              <w:ind w:firstLine="480" w:firstLineChars="200"/>
              <w:rPr>
                <w:rFonts w:hint="eastAsia" w:ascii="Times New Roman" w:hAnsi="Times New Roman" w:cs="Times New Roman"/>
                <w:color w:val="auto"/>
                <w:kern w:val="0"/>
                <w:sz w:val="24"/>
                <w:lang w:val="en-US" w:eastAsia="zh-CN"/>
              </w:rPr>
            </w:pPr>
            <w:r>
              <w:rPr>
                <w:rFonts w:ascii="宋体" w:hAnsi="宋体" w:eastAsia="宋体" w:cs="宋体"/>
                <w:sz w:val="24"/>
                <w:szCs w:val="24"/>
              </w:rPr>
              <w:t>根据《建设项目环境影响评价技术导则总纲》（HJ2.1-2016）中7.44条“在建设项目实施过程中，由于自然或人为原因所酿成的爆炸、火灾、中毒等后果十分严重的造成人身伤害或财产损失的事故，均属风险事故，是否进行环境风险评价，应该视工程性质、规模、建设项目所在地环境特征以及事故后果等因素确定。”</w:t>
            </w:r>
          </w:p>
          <w:p w14:paraId="54664665">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ascii="Times New Roman" w:hAnsi="Times New Roman" w:cs="Times New Roman"/>
                <w:b/>
                <w:bCs/>
                <w:color w:val="auto"/>
                <w:kern w:val="44"/>
                <w:sz w:val="24"/>
                <w:szCs w:val="24"/>
                <w:highlight w:val="none"/>
                <w:lang w:val="en-US" w:eastAsia="zh-CN" w:bidi="ar-SA"/>
              </w:rPr>
              <w:t>2、风险识别与分析</w:t>
            </w:r>
          </w:p>
          <w:p w14:paraId="0B40D7AC">
            <w:pPr>
              <w:adjustRightInd w:val="0"/>
              <w:spacing w:line="360" w:lineRule="auto"/>
              <w:ind w:firstLine="480" w:firstLineChars="200"/>
              <w:rPr>
                <w:rFonts w:hint="default" w:ascii="宋体" w:hAnsi="宋体" w:eastAsia="宋体" w:cs="宋体"/>
                <w:sz w:val="24"/>
                <w:szCs w:val="24"/>
                <w:lang w:val="en-US" w:eastAsia="zh-CN"/>
              </w:rPr>
            </w:pPr>
            <w:r>
              <w:rPr>
                <w:rFonts w:ascii="宋体" w:hAnsi="宋体" w:eastAsia="宋体" w:cs="宋体"/>
                <w:sz w:val="24"/>
                <w:szCs w:val="24"/>
              </w:rPr>
              <w:t>①</w:t>
            </w:r>
            <w:r>
              <w:rPr>
                <w:rFonts w:hint="eastAsia" w:ascii="宋体" w:hAnsi="宋体" w:cs="宋体"/>
                <w:sz w:val="24"/>
                <w:szCs w:val="24"/>
                <w:lang w:val="en-US" w:eastAsia="zh-CN"/>
              </w:rPr>
              <w:t>危险物质数量和分布情况</w:t>
            </w:r>
          </w:p>
          <w:p w14:paraId="46632F0B">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经对照《建设项目环境风险评价技术导则》（HJ169-2018）中的</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附录B.1突发环境事件风险物质及临界量</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可知，该项目生产过程中产生的</w:t>
            </w:r>
            <w:r>
              <w:rPr>
                <w:rFonts w:hint="default" w:ascii="Times New Roman" w:hAnsi="Times New Roman" w:eastAsia="宋体" w:cs="Times New Roman"/>
                <w:color w:val="000000"/>
                <w:spacing w:val="0"/>
                <w:w w:val="100"/>
                <w:position w:val="0"/>
                <w:sz w:val="24"/>
                <w:szCs w:val="24"/>
              </w:rPr>
              <w:t>废蓄电池、燃料油</w:t>
            </w:r>
            <w:r>
              <w:rPr>
                <w:rFonts w:hint="default" w:ascii="Times New Roman" w:hAnsi="Times New Roman" w:eastAsia="宋体" w:cs="Times New Roman"/>
                <w:color w:val="000000"/>
                <w:spacing w:val="0"/>
                <w:w w:val="100"/>
                <w:position w:val="0"/>
                <w:sz w:val="24"/>
                <w:szCs w:val="24"/>
                <w:lang w:eastAsia="zh-CN"/>
              </w:rPr>
              <w:t>、</w:t>
            </w:r>
            <w:r>
              <w:rPr>
                <w:rFonts w:hint="default" w:ascii="Times New Roman" w:hAnsi="Times New Roman" w:eastAsia="宋体" w:cs="Times New Roman"/>
                <w:color w:val="000000"/>
                <w:spacing w:val="0"/>
                <w:w w:val="100"/>
                <w:position w:val="0"/>
                <w:sz w:val="24"/>
                <w:szCs w:val="24"/>
              </w:rPr>
              <w:t>废矿物油及油泥等</w:t>
            </w:r>
            <w:r>
              <w:rPr>
                <w:rFonts w:hint="default" w:ascii="Times New Roman" w:hAnsi="Times New Roman" w:eastAsia="宋体" w:cs="Times New Roman"/>
                <w:color w:val="000000"/>
                <w:sz w:val="24"/>
                <w:szCs w:val="24"/>
              </w:rPr>
              <w:t>属于危险物质。</w:t>
            </w:r>
          </w:p>
          <w:p w14:paraId="7D47AC02">
            <w:pPr>
              <w:spacing w:line="360" w:lineRule="auto"/>
              <w:ind w:firstLine="480" w:firstLineChars="200"/>
              <w:rPr>
                <w:rFonts w:hint="default" w:ascii="Times New Roman" w:hAnsi="Times New Roman" w:eastAsia="宋体" w:cs="Times New Roman"/>
                <w:color w:val="000000"/>
                <w:spacing w:val="0"/>
                <w:w w:val="100"/>
                <w:position w:val="0"/>
                <w:sz w:val="24"/>
                <w:szCs w:val="24"/>
                <w:lang w:val="en-US" w:eastAsia="en-US" w:bidi="en-US"/>
              </w:rPr>
            </w:pPr>
            <w:r>
              <w:rPr>
                <w:rFonts w:hint="default" w:ascii="Times New Roman" w:hAnsi="Times New Roman" w:eastAsia="宋体" w:cs="Times New Roman"/>
                <w:color w:val="000000"/>
                <w:sz w:val="24"/>
              </w:rPr>
              <w:t>经对照《建设项目环境风险评价技术导则》（HJ169-2018）中的“附录B.1  突发环境事件风险物质及临界量”可知，</w:t>
            </w:r>
            <w:r>
              <w:rPr>
                <w:rFonts w:hint="default" w:ascii="Times New Roman" w:hAnsi="Times New Roman" w:eastAsia="宋体" w:cs="Times New Roman"/>
                <w:color w:val="000000"/>
                <w:sz w:val="24"/>
                <w:lang w:val="en-US" w:eastAsia="zh-CN"/>
              </w:rPr>
              <w:t>本项目危险物质</w:t>
            </w:r>
            <w:r>
              <w:rPr>
                <w:rFonts w:hint="default" w:ascii="Times New Roman" w:hAnsi="Times New Roman" w:eastAsia="宋体" w:cs="Times New Roman"/>
                <w:color w:val="000000"/>
                <w:spacing w:val="0"/>
                <w:w w:val="100"/>
                <w:position w:val="0"/>
                <w:sz w:val="24"/>
                <w:szCs w:val="24"/>
              </w:rPr>
              <w:t>包括：有毒物质，主要为硫酸；易燃物质，主要为燃油、废矿物油及油泥。最终筛选出拟建项目环境风险物质有：硫酸、燃油、废矿物油及油泥。硫酸来源于废旧铅蓄电池，</w:t>
            </w:r>
            <w:r>
              <w:rPr>
                <w:rFonts w:hint="default" w:ascii="Times New Roman" w:hAnsi="Times New Roman" w:eastAsia="宋体" w:cs="Times New Roman"/>
                <w:b w:val="0"/>
                <w:bCs/>
                <w:color w:val="000000"/>
                <w:sz w:val="24"/>
              </w:rPr>
              <w:t>废旧铅酸电池内含有一定量的废稀硫酸，根据调查，铅酸蓄电池内电解液的含量为10%</w:t>
            </w:r>
            <w:r>
              <w:rPr>
                <w:rFonts w:hint="default" w:ascii="Times New Roman" w:hAnsi="Times New Roman" w:eastAsia="宋体" w:cs="Times New Roman"/>
                <w:b w:val="0"/>
                <w:bCs/>
                <w:color w:val="000000"/>
                <w:sz w:val="24"/>
                <w:lang w:val="en-US" w:eastAsia="zh-CN"/>
              </w:rPr>
              <w:t>~</w:t>
            </w:r>
            <w:r>
              <w:rPr>
                <w:rFonts w:hint="default" w:ascii="Times New Roman" w:hAnsi="Times New Roman" w:eastAsia="宋体" w:cs="Times New Roman"/>
                <w:b w:val="0"/>
                <w:bCs/>
                <w:color w:val="000000"/>
                <w:sz w:val="24"/>
              </w:rPr>
              <w:t>20%(本项目以20%计</w:t>
            </w:r>
            <w:r>
              <w:rPr>
                <w:rFonts w:hint="default" w:ascii="Times New Roman" w:hAnsi="Times New Roman" w:eastAsia="宋体" w:cs="Times New Roman"/>
                <w:b w:val="0"/>
                <w:bCs/>
                <w:color w:val="000000"/>
                <w:sz w:val="24"/>
                <w:lang w:eastAsia="zh-CN"/>
              </w:rPr>
              <w:t>)</w:t>
            </w:r>
            <w:r>
              <w:rPr>
                <w:rFonts w:hint="default" w:ascii="Times New Roman" w:hAnsi="Times New Roman" w:eastAsia="宋体" w:cs="Times New Roman"/>
                <w:b w:val="0"/>
                <w:bCs/>
                <w:color w:val="000000"/>
                <w:sz w:val="24"/>
              </w:rPr>
              <w:t>，电解液中硫酸浓度为35</w:t>
            </w:r>
            <w:r>
              <w:rPr>
                <w:rFonts w:hint="default" w:ascii="Times New Roman" w:hAnsi="Times New Roman" w:eastAsia="宋体" w:cs="Times New Roman"/>
                <w:b w:val="0"/>
                <w:bCs/>
                <w:color w:val="000000"/>
                <w:sz w:val="24"/>
                <w:lang w:val="en-US" w:eastAsia="zh-CN"/>
              </w:rPr>
              <w:t>%~</w:t>
            </w:r>
            <w:r>
              <w:rPr>
                <w:rFonts w:hint="default" w:ascii="Times New Roman" w:hAnsi="Times New Roman" w:eastAsia="宋体" w:cs="Times New Roman"/>
                <w:b w:val="0"/>
                <w:bCs/>
                <w:color w:val="000000"/>
                <w:sz w:val="24"/>
              </w:rPr>
              <w:t>40%(本项目以</w:t>
            </w:r>
            <w:r>
              <w:rPr>
                <w:rFonts w:hint="eastAsia" w:ascii="Times New Roman" w:hAnsi="Times New Roman" w:eastAsia="宋体" w:cs="Times New Roman"/>
                <w:b w:val="0"/>
                <w:bCs/>
                <w:color w:val="000000"/>
                <w:sz w:val="24"/>
                <w:lang w:val="en-US" w:eastAsia="zh-CN"/>
              </w:rPr>
              <w:t>4</w:t>
            </w:r>
            <w:r>
              <w:rPr>
                <w:rFonts w:hint="default" w:ascii="Times New Roman" w:hAnsi="Times New Roman" w:eastAsia="宋体" w:cs="Times New Roman"/>
                <w:b w:val="0"/>
                <w:bCs/>
                <w:color w:val="000000"/>
                <w:sz w:val="24"/>
              </w:rPr>
              <w:t>0%计</w:t>
            </w:r>
            <w:r>
              <w:rPr>
                <w:rFonts w:hint="default" w:ascii="Times New Roman" w:hAnsi="Times New Roman" w:eastAsia="宋体" w:cs="Times New Roman"/>
                <w:b w:val="0"/>
                <w:bCs/>
                <w:color w:val="000000"/>
                <w:sz w:val="24"/>
                <w:lang w:eastAsia="zh-CN"/>
              </w:rPr>
              <w:t>)</w:t>
            </w:r>
            <w:r>
              <w:rPr>
                <w:rFonts w:hint="default" w:ascii="Times New Roman" w:hAnsi="Times New Roman" w:eastAsia="宋体" w:cs="Times New Roman"/>
                <w:b w:val="0"/>
                <w:bCs/>
                <w:color w:val="000000"/>
                <w:sz w:val="24"/>
              </w:rPr>
              <w:t>。</w:t>
            </w:r>
            <w:r>
              <w:rPr>
                <w:rFonts w:hint="default" w:ascii="Times New Roman" w:hAnsi="Times New Roman" w:eastAsia="宋体" w:cs="Times New Roman"/>
                <w:color w:val="000000"/>
                <w:spacing w:val="0"/>
                <w:w w:val="100"/>
                <w:position w:val="0"/>
                <w:sz w:val="24"/>
                <w:szCs w:val="24"/>
              </w:rPr>
              <w:t>本项目废蓄电池厂内最大暂存量</w:t>
            </w:r>
            <w:r>
              <w:rPr>
                <w:rFonts w:hint="eastAsia" w:ascii="Times New Roman" w:hAnsi="Times New Roman" w:eastAsia="宋体" w:cs="Times New Roman"/>
                <w:color w:val="000000"/>
                <w:spacing w:val="0"/>
                <w:w w:val="100"/>
                <w:position w:val="0"/>
                <w:sz w:val="24"/>
                <w:szCs w:val="24"/>
                <w:lang w:val="en-US" w:eastAsia="zh-CN" w:bidi="en-US"/>
              </w:rPr>
              <w:t>75.25</w:t>
            </w:r>
            <w:r>
              <w:rPr>
                <w:rFonts w:hint="default" w:ascii="Times New Roman" w:hAnsi="Times New Roman" w:eastAsia="宋体" w:cs="Times New Roman"/>
                <w:color w:val="000000"/>
                <w:spacing w:val="0"/>
                <w:w w:val="100"/>
                <w:position w:val="0"/>
                <w:sz w:val="24"/>
                <w:szCs w:val="24"/>
                <w:lang w:val="en-US" w:eastAsia="en-US" w:bidi="en-US"/>
              </w:rPr>
              <w:t>t</w:t>
            </w:r>
            <w:r>
              <w:rPr>
                <w:rFonts w:hint="default" w:ascii="Times New Roman" w:hAnsi="Times New Roman" w:eastAsia="宋体" w:cs="Times New Roman"/>
                <w:color w:val="000000"/>
                <w:spacing w:val="0"/>
                <w:w w:val="100"/>
                <w:position w:val="0"/>
                <w:sz w:val="24"/>
                <w:szCs w:val="24"/>
              </w:rPr>
              <w:t>，</w:t>
            </w:r>
            <w:r>
              <w:rPr>
                <w:rFonts w:hint="default" w:ascii="Times New Roman" w:hAnsi="Times New Roman" w:eastAsia="宋体" w:cs="Times New Roman"/>
                <w:color w:val="000000"/>
                <w:spacing w:val="0"/>
                <w:w w:val="100"/>
                <w:position w:val="0"/>
                <w:sz w:val="24"/>
                <w:szCs w:val="24"/>
                <w:lang w:val="en-US" w:eastAsia="zh-CN"/>
              </w:rPr>
              <w:t>按最不利情况计算，</w:t>
            </w:r>
            <w:r>
              <w:rPr>
                <w:rFonts w:hint="default" w:ascii="Times New Roman" w:hAnsi="Times New Roman" w:eastAsia="宋体" w:cs="Times New Roman"/>
                <w:color w:val="000000"/>
                <w:spacing w:val="0"/>
                <w:w w:val="100"/>
                <w:position w:val="0"/>
                <w:sz w:val="24"/>
                <w:szCs w:val="24"/>
              </w:rPr>
              <w:t>则电解液硫酸液的最大存量为</w:t>
            </w:r>
            <w:r>
              <w:rPr>
                <w:rFonts w:hint="eastAsia" w:ascii="Times New Roman" w:hAnsi="Times New Roman" w:eastAsia="宋体" w:cs="Times New Roman"/>
                <w:color w:val="000000"/>
                <w:spacing w:val="0"/>
                <w:w w:val="100"/>
                <w:position w:val="0"/>
                <w:sz w:val="24"/>
                <w:szCs w:val="24"/>
                <w:lang w:val="en-US" w:eastAsia="zh-CN" w:bidi="en-US"/>
              </w:rPr>
              <w:t>6.02</w:t>
            </w:r>
            <w:r>
              <w:rPr>
                <w:rFonts w:hint="default" w:ascii="Times New Roman" w:hAnsi="Times New Roman" w:eastAsia="宋体" w:cs="Times New Roman"/>
                <w:color w:val="000000"/>
                <w:spacing w:val="0"/>
                <w:w w:val="100"/>
                <w:position w:val="0"/>
                <w:sz w:val="24"/>
                <w:szCs w:val="24"/>
                <w:lang w:val="en-US" w:eastAsia="en-US" w:bidi="en-US"/>
              </w:rPr>
              <w:t>t；</w:t>
            </w:r>
            <w:r>
              <w:rPr>
                <w:rFonts w:hint="eastAsia" w:ascii="Times New Roman" w:hAnsi="Times New Roman" w:eastAsia="宋体" w:cs="Times New Roman"/>
                <w:color w:val="000000"/>
                <w:spacing w:val="0"/>
                <w:w w:val="100"/>
                <w:position w:val="0"/>
                <w:sz w:val="24"/>
                <w:szCs w:val="24"/>
                <w:lang w:val="en-US" w:eastAsia="zh-CN"/>
              </w:rPr>
              <w:t>油类物质及油泥</w:t>
            </w:r>
            <w:r>
              <w:rPr>
                <w:rFonts w:hint="default" w:ascii="Times New Roman" w:hAnsi="Times New Roman" w:eastAsia="宋体" w:cs="Times New Roman"/>
                <w:color w:val="000000"/>
                <w:spacing w:val="0"/>
                <w:w w:val="100"/>
                <w:position w:val="0"/>
                <w:sz w:val="24"/>
                <w:szCs w:val="24"/>
              </w:rPr>
              <w:t>最大存量</w:t>
            </w:r>
            <w:r>
              <w:rPr>
                <w:rFonts w:hint="eastAsia" w:ascii="Times New Roman" w:hAnsi="Times New Roman" w:eastAsia="宋体" w:cs="Times New Roman"/>
                <w:color w:val="000000"/>
                <w:spacing w:val="0"/>
                <w:w w:val="100"/>
                <w:position w:val="0"/>
                <w:sz w:val="24"/>
                <w:szCs w:val="24"/>
                <w:lang w:val="en-US" w:eastAsia="zh-CN"/>
              </w:rPr>
              <w:t>分别</w:t>
            </w:r>
            <w:r>
              <w:rPr>
                <w:rFonts w:hint="default" w:ascii="Times New Roman" w:hAnsi="Times New Roman" w:eastAsia="宋体" w:cs="Times New Roman"/>
                <w:color w:val="000000"/>
                <w:spacing w:val="0"/>
                <w:w w:val="100"/>
                <w:position w:val="0"/>
                <w:sz w:val="24"/>
                <w:szCs w:val="24"/>
              </w:rPr>
              <w:t>为</w:t>
            </w:r>
            <w:r>
              <w:rPr>
                <w:rFonts w:hint="eastAsia" w:ascii="Times New Roman" w:hAnsi="Times New Roman" w:eastAsia="宋体" w:cs="Times New Roman"/>
                <w:color w:val="000000"/>
                <w:spacing w:val="0"/>
                <w:w w:val="100"/>
                <w:position w:val="0"/>
                <w:sz w:val="24"/>
                <w:szCs w:val="24"/>
                <w:lang w:val="en-US" w:eastAsia="zh-CN" w:bidi="en-US"/>
              </w:rPr>
              <w:t>32.725</w:t>
            </w:r>
            <w:r>
              <w:rPr>
                <w:rFonts w:hint="default" w:ascii="Times New Roman" w:hAnsi="Times New Roman" w:eastAsia="宋体" w:cs="Times New Roman"/>
                <w:color w:val="000000"/>
                <w:spacing w:val="0"/>
                <w:w w:val="100"/>
                <w:position w:val="0"/>
                <w:sz w:val="24"/>
                <w:szCs w:val="24"/>
                <w:lang w:val="en-US" w:eastAsia="zh-CN" w:bidi="en-US"/>
              </w:rPr>
              <w:t>t</w:t>
            </w:r>
            <w:r>
              <w:rPr>
                <w:rFonts w:hint="eastAsia" w:ascii="Times New Roman" w:hAnsi="Times New Roman" w:eastAsia="宋体" w:cs="Times New Roman"/>
                <w:color w:val="000000"/>
                <w:spacing w:val="0"/>
                <w:w w:val="100"/>
                <w:position w:val="0"/>
                <w:sz w:val="24"/>
                <w:szCs w:val="24"/>
                <w:lang w:val="en-US" w:eastAsia="zh-CN" w:bidi="en-US"/>
              </w:rPr>
              <w:t>、0.2t</w:t>
            </w:r>
            <w:r>
              <w:rPr>
                <w:rFonts w:hint="default" w:ascii="Times New Roman" w:hAnsi="Times New Roman" w:eastAsia="宋体" w:cs="Times New Roman"/>
                <w:color w:val="000000"/>
                <w:spacing w:val="0"/>
                <w:w w:val="100"/>
                <w:position w:val="0"/>
                <w:sz w:val="24"/>
                <w:szCs w:val="24"/>
                <w:lang w:val="en-US" w:eastAsia="en-US" w:bidi="en-US"/>
              </w:rPr>
              <w:t>。</w:t>
            </w:r>
          </w:p>
          <w:p w14:paraId="36808F8D">
            <w:pPr>
              <w:pageBreakBefore w:val="0"/>
              <w:kinsoku/>
              <w:wordWrap/>
              <w:overflowPunct/>
              <w:topLinePunct w:val="0"/>
              <w:bidi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本项目危险物质数量和分布情况详见表</w:t>
            </w:r>
            <w:r>
              <w:rPr>
                <w:rFonts w:hint="default" w:ascii="Times New Roman" w:hAnsi="Times New Roman" w:eastAsia="宋体" w:cs="Times New Roman"/>
                <w:color w:val="000000"/>
                <w:sz w:val="24"/>
                <w:szCs w:val="24"/>
                <w:lang w:val="en-US" w:eastAsia="zh-CN"/>
              </w:rPr>
              <w:t>4-</w:t>
            </w:r>
            <w:r>
              <w:rPr>
                <w:rFonts w:hint="eastAsia" w:ascii="Times New Roman" w:hAnsi="Times New Roman" w:eastAsia="宋体" w:cs="Times New Roman"/>
                <w:color w:val="000000"/>
                <w:sz w:val="24"/>
                <w:szCs w:val="24"/>
                <w:lang w:val="en-US" w:eastAsia="zh-CN"/>
              </w:rPr>
              <w:t>15</w:t>
            </w:r>
            <w:r>
              <w:rPr>
                <w:rFonts w:hint="default" w:ascii="Times New Roman" w:hAnsi="Times New Roman" w:eastAsia="宋体" w:cs="Times New Roman"/>
                <w:color w:val="000000"/>
                <w:sz w:val="24"/>
                <w:szCs w:val="24"/>
              </w:rPr>
              <w:t>。</w:t>
            </w:r>
          </w:p>
          <w:p w14:paraId="09C26424">
            <w:pPr>
              <w:jc w:val="both"/>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表4-</w:t>
            </w:r>
            <w:r>
              <w:rPr>
                <w:rFonts w:hint="eastAsia" w:ascii="Times New Roman" w:hAnsi="Times New Roman" w:eastAsia="宋体" w:cs="Times New Roman"/>
                <w:b/>
                <w:color w:val="auto"/>
                <w:sz w:val="24"/>
                <w:lang w:val="en-US" w:eastAsia="zh-CN"/>
              </w:rPr>
              <w:t>15</w:t>
            </w:r>
            <w:r>
              <w:rPr>
                <w:rFonts w:hint="default"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lang w:val="en-US" w:eastAsia="zh-CN"/>
              </w:rPr>
              <w:t>建设项目危险物质数量和分布情况一览表</w:t>
            </w:r>
          </w:p>
          <w:tbl>
            <w:tblPr>
              <w:tblStyle w:val="2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3"/>
              <w:gridCol w:w="1783"/>
              <w:gridCol w:w="2418"/>
              <w:gridCol w:w="1899"/>
              <w:gridCol w:w="1432"/>
            </w:tblGrid>
            <w:tr w14:paraId="3F48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tcBorders>
                    <w:tl2br w:val="nil"/>
                    <w:tr2bl w:val="nil"/>
                  </w:tcBorders>
                  <w:noWrap w:val="0"/>
                  <w:vAlign w:val="center"/>
                </w:tcPr>
                <w:p w14:paraId="6FBBBF16">
                  <w:pPr>
                    <w:bidi w:val="0"/>
                    <w:jc w:val="center"/>
                    <w:rPr>
                      <w:rFonts w:hint="default"/>
                      <w:b/>
                      <w:bCs/>
                      <w:color w:val="000000"/>
                      <w:sz w:val="21"/>
                      <w:szCs w:val="21"/>
                      <w:lang w:val="en-US" w:eastAsia="zh-CN"/>
                    </w:rPr>
                  </w:pPr>
                  <w:r>
                    <w:rPr>
                      <w:rFonts w:hint="default"/>
                      <w:b/>
                      <w:bCs/>
                      <w:color w:val="000000"/>
                      <w:sz w:val="21"/>
                      <w:szCs w:val="21"/>
                      <w:lang w:val="en-US" w:eastAsia="zh-CN"/>
                    </w:rPr>
                    <w:t>序号</w:t>
                  </w:r>
                </w:p>
              </w:tc>
              <w:tc>
                <w:tcPr>
                  <w:tcW w:w="1026" w:type="pct"/>
                  <w:tcBorders>
                    <w:tl2br w:val="nil"/>
                    <w:tr2bl w:val="nil"/>
                  </w:tcBorders>
                  <w:noWrap w:val="0"/>
                  <w:vAlign w:val="center"/>
                </w:tcPr>
                <w:p w14:paraId="29E2AC00">
                  <w:pPr>
                    <w:bidi w:val="0"/>
                    <w:jc w:val="center"/>
                    <w:rPr>
                      <w:rFonts w:hint="default"/>
                      <w:b/>
                      <w:bCs/>
                      <w:color w:val="000000"/>
                      <w:sz w:val="21"/>
                      <w:szCs w:val="21"/>
                      <w:lang w:val="en-US" w:eastAsia="zh-CN"/>
                    </w:rPr>
                  </w:pPr>
                  <w:r>
                    <w:rPr>
                      <w:rFonts w:hint="default"/>
                      <w:b/>
                      <w:bCs/>
                      <w:color w:val="000000"/>
                      <w:sz w:val="21"/>
                      <w:szCs w:val="21"/>
                      <w:lang w:val="en-US" w:eastAsia="zh-CN"/>
                    </w:rPr>
                    <w:t>物质名称</w:t>
                  </w:r>
                </w:p>
              </w:tc>
              <w:tc>
                <w:tcPr>
                  <w:tcW w:w="1392" w:type="pct"/>
                  <w:tcBorders>
                    <w:tl2br w:val="nil"/>
                    <w:tr2bl w:val="nil"/>
                  </w:tcBorders>
                  <w:noWrap w:val="0"/>
                  <w:vAlign w:val="center"/>
                </w:tcPr>
                <w:p w14:paraId="65CFC4A7">
                  <w:pPr>
                    <w:bidi w:val="0"/>
                    <w:jc w:val="center"/>
                    <w:rPr>
                      <w:rFonts w:hint="default"/>
                      <w:b/>
                      <w:bCs/>
                      <w:color w:val="000000"/>
                      <w:sz w:val="21"/>
                      <w:szCs w:val="21"/>
                      <w:lang w:val="en-US" w:eastAsia="zh-CN"/>
                    </w:rPr>
                  </w:pPr>
                  <w:r>
                    <w:rPr>
                      <w:rFonts w:hint="default"/>
                      <w:b/>
                      <w:bCs/>
                      <w:color w:val="000000"/>
                      <w:sz w:val="21"/>
                      <w:szCs w:val="21"/>
                      <w:lang w:val="en-US" w:eastAsia="zh-CN"/>
                    </w:rPr>
                    <w:t>最大存在量qn（t）</w:t>
                  </w:r>
                </w:p>
              </w:tc>
              <w:tc>
                <w:tcPr>
                  <w:tcW w:w="1091" w:type="pct"/>
                  <w:tcBorders>
                    <w:tl2br w:val="nil"/>
                    <w:tr2bl w:val="nil"/>
                  </w:tcBorders>
                  <w:noWrap w:val="0"/>
                  <w:vAlign w:val="center"/>
                </w:tcPr>
                <w:p w14:paraId="0826F102">
                  <w:pPr>
                    <w:bidi w:val="0"/>
                    <w:jc w:val="center"/>
                    <w:rPr>
                      <w:rFonts w:hint="default"/>
                      <w:b/>
                      <w:bCs/>
                      <w:color w:val="000000"/>
                      <w:sz w:val="21"/>
                      <w:szCs w:val="21"/>
                      <w:lang w:val="en-US" w:eastAsia="zh-CN"/>
                    </w:rPr>
                  </w:pPr>
                  <w:r>
                    <w:rPr>
                      <w:rFonts w:hint="default"/>
                      <w:b/>
                      <w:bCs/>
                      <w:color w:val="000000"/>
                      <w:sz w:val="21"/>
                      <w:szCs w:val="21"/>
                      <w:lang w:val="en-US" w:eastAsia="zh-CN"/>
                    </w:rPr>
                    <w:t>临界量Qn（t）</w:t>
                  </w:r>
                </w:p>
              </w:tc>
              <w:tc>
                <w:tcPr>
                  <w:tcW w:w="824" w:type="pct"/>
                  <w:tcBorders>
                    <w:tl2br w:val="nil"/>
                    <w:tr2bl w:val="nil"/>
                  </w:tcBorders>
                  <w:noWrap w:val="0"/>
                  <w:vAlign w:val="center"/>
                </w:tcPr>
                <w:p w14:paraId="0B56A43B">
                  <w:pPr>
                    <w:bidi w:val="0"/>
                    <w:jc w:val="center"/>
                    <w:rPr>
                      <w:rFonts w:hint="default"/>
                      <w:b/>
                      <w:bCs/>
                      <w:color w:val="000000"/>
                      <w:sz w:val="21"/>
                      <w:szCs w:val="21"/>
                      <w:lang w:val="en-US" w:eastAsia="zh-CN"/>
                    </w:rPr>
                  </w:pPr>
                  <w:r>
                    <w:rPr>
                      <w:rFonts w:hint="default"/>
                      <w:b/>
                      <w:bCs/>
                      <w:color w:val="000000"/>
                      <w:sz w:val="21"/>
                      <w:szCs w:val="21"/>
                      <w:lang w:val="en-US" w:eastAsia="zh-CN"/>
                    </w:rPr>
                    <w:t>qn/Qn</w:t>
                  </w:r>
                </w:p>
              </w:tc>
            </w:tr>
            <w:tr w14:paraId="00F7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tcBorders>
                    <w:tl2br w:val="nil"/>
                    <w:tr2bl w:val="nil"/>
                  </w:tcBorders>
                  <w:noWrap w:val="0"/>
                  <w:vAlign w:val="center"/>
                </w:tcPr>
                <w:p w14:paraId="48E36DE2">
                  <w:pPr>
                    <w:bidi w:val="0"/>
                    <w:jc w:val="center"/>
                    <w:rPr>
                      <w:rFonts w:hint="default"/>
                      <w:color w:val="000000"/>
                      <w:sz w:val="21"/>
                      <w:szCs w:val="21"/>
                      <w:lang w:val="en-US" w:eastAsia="zh-CN"/>
                    </w:rPr>
                  </w:pPr>
                  <w:r>
                    <w:rPr>
                      <w:rFonts w:hint="default"/>
                      <w:color w:val="000000"/>
                      <w:sz w:val="21"/>
                      <w:szCs w:val="21"/>
                      <w:lang w:val="en-US" w:eastAsia="zh-CN"/>
                    </w:rPr>
                    <w:t>1</w:t>
                  </w:r>
                </w:p>
              </w:tc>
              <w:tc>
                <w:tcPr>
                  <w:tcW w:w="1026" w:type="pct"/>
                  <w:tcBorders>
                    <w:tl2br w:val="nil"/>
                    <w:tr2bl w:val="nil"/>
                  </w:tcBorders>
                  <w:noWrap w:val="0"/>
                  <w:vAlign w:val="center"/>
                </w:tcPr>
                <w:p w14:paraId="3FE4BF45">
                  <w:pPr>
                    <w:bidi w:val="0"/>
                    <w:jc w:val="center"/>
                    <w:rPr>
                      <w:rFonts w:hint="default"/>
                      <w:color w:val="000000"/>
                      <w:sz w:val="21"/>
                      <w:szCs w:val="21"/>
                    </w:rPr>
                  </w:pPr>
                  <w:r>
                    <w:rPr>
                      <w:rFonts w:hint="default"/>
                      <w:color w:val="000000"/>
                      <w:sz w:val="21"/>
                      <w:szCs w:val="21"/>
                    </w:rPr>
                    <w:t>硫酸</w:t>
                  </w:r>
                </w:p>
              </w:tc>
              <w:tc>
                <w:tcPr>
                  <w:tcW w:w="1392" w:type="pct"/>
                  <w:tcBorders>
                    <w:tl2br w:val="nil"/>
                    <w:tr2bl w:val="nil"/>
                  </w:tcBorders>
                  <w:noWrap w:val="0"/>
                  <w:vAlign w:val="center"/>
                </w:tcPr>
                <w:p w14:paraId="28731F73">
                  <w:pPr>
                    <w:bidi w:val="0"/>
                    <w:jc w:val="center"/>
                    <w:rPr>
                      <w:rFonts w:hint="default"/>
                      <w:color w:val="000000"/>
                      <w:kern w:val="2"/>
                      <w:sz w:val="21"/>
                      <w:szCs w:val="21"/>
                      <w:lang w:val="en-US" w:eastAsia="zh-CN" w:bidi="ar-SA"/>
                    </w:rPr>
                  </w:pPr>
                  <w:r>
                    <w:rPr>
                      <w:rFonts w:hint="eastAsia"/>
                      <w:color w:val="000000"/>
                      <w:sz w:val="21"/>
                      <w:szCs w:val="21"/>
                      <w:lang w:val="en-US" w:eastAsia="zh-CN"/>
                    </w:rPr>
                    <w:t>6.02</w:t>
                  </w:r>
                </w:p>
              </w:tc>
              <w:tc>
                <w:tcPr>
                  <w:tcW w:w="1091" w:type="pct"/>
                  <w:tcBorders>
                    <w:tl2br w:val="nil"/>
                    <w:tr2bl w:val="nil"/>
                  </w:tcBorders>
                  <w:noWrap w:val="0"/>
                  <w:vAlign w:val="center"/>
                </w:tcPr>
                <w:p w14:paraId="1EDE2BF9">
                  <w:pPr>
                    <w:bidi w:val="0"/>
                    <w:jc w:val="center"/>
                    <w:rPr>
                      <w:rFonts w:hint="default"/>
                      <w:color w:val="000000"/>
                      <w:kern w:val="2"/>
                      <w:sz w:val="21"/>
                      <w:szCs w:val="21"/>
                      <w:lang w:val="en-US" w:eastAsia="zh-CN" w:bidi="ar-SA"/>
                    </w:rPr>
                  </w:pPr>
                  <w:r>
                    <w:rPr>
                      <w:rFonts w:hint="default"/>
                      <w:color w:val="000000"/>
                      <w:sz w:val="21"/>
                      <w:szCs w:val="21"/>
                      <w:lang w:val="en-US" w:eastAsia="zh-CN"/>
                    </w:rPr>
                    <w:t>10</w:t>
                  </w:r>
                </w:p>
              </w:tc>
              <w:tc>
                <w:tcPr>
                  <w:tcW w:w="824" w:type="pct"/>
                  <w:tcBorders>
                    <w:tl2br w:val="nil"/>
                    <w:tr2bl w:val="nil"/>
                  </w:tcBorders>
                  <w:noWrap w:val="0"/>
                  <w:vAlign w:val="center"/>
                </w:tcPr>
                <w:p w14:paraId="2F33477C">
                  <w:pPr>
                    <w:bidi w:val="0"/>
                    <w:jc w:val="center"/>
                    <w:rPr>
                      <w:rFonts w:hint="default"/>
                      <w:color w:val="000000"/>
                      <w:sz w:val="21"/>
                      <w:szCs w:val="21"/>
                      <w:lang w:val="en-US" w:eastAsia="zh-CN"/>
                    </w:rPr>
                  </w:pPr>
                  <w:r>
                    <w:rPr>
                      <w:rFonts w:hint="eastAsia"/>
                      <w:color w:val="000000"/>
                      <w:sz w:val="21"/>
                      <w:szCs w:val="21"/>
                      <w:lang w:val="en-US" w:eastAsia="zh-CN"/>
                    </w:rPr>
                    <w:t>0.602</w:t>
                  </w:r>
                </w:p>
              </w:tc>
            </w:tr>
            <w:tr w14:paraId="0B71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tcBorders>
                    <w:tl2br w:val="nil"/>
                    <w:tr2bl w:val="nil"/>
                  </w:tcBorders>
                  <w:noWrap w:val="0"/>
                  <w:vAlign w:val="center"/>
                </w:tcPr>
                <w:p w14:paraId="21678C1C">
                  <w:pPr>
                    <w:bidi w:val="0"/>
                    <w:jc w:val="center"/>
                    <w:rPr>
                      <w:rFonts w:hint="default"/>
                      <w:color w:val="000000"/>
                      <w:sz w:val="21"/>
                      <w:szCs w:val="21"/>
                      <w:lang w:val="en-US" w:eastAsia="zh-CN"/>
                    </w:rPr>
                  </w:pPr>
                  <w:r>
                    <w:rPr>
                      <w:rFonts w:hint="default"/>
                      <w:color w:val="000000"/>
                      <w:sz w:val="21"/>
                      <w:szCs w:val="21"/>
                      <w:lang w:val="en-US" w:eastAsia="zh-CN"/>
                    </w:rPr>
                    <w:t>2</w:t>
                  </w:r>
                </w:p>
              </w:tc>
              <w:tc>
                <w:tcPr>
                  <w:tcW w:w="1026" w:type="pct"/>
                  <w:tcBorders>
                    <w:tl2br w:val="nil"/>
                    <w:tr2bl w:val="nil"/>
                  </w:tcBorders>
                  <w:noWrap w:val="0"/>
                  <w:vAlign w:val="center"/>
                </w:tcPr>
                <w:p w14:paraId="23E367F1">
                  <w:pPr>
                    <w:bidi w:val="0"/>
                    <w:jc w:val="center"/>
                    <w:rPr>
                      <w:rFonts w:hint="default" w:eastAsia="宋体"/>
                      <w:color w:val="000000"/>
                      <w:sz w:val="21"/>
                      <w:szCs w:val="21"/>
                      <w:lang w:val="en-US" w:eastAsia="zh-CN"/>
                    </w:rPr>
                  </w:pPr>
                  <w:r>
                    <w:rPr>
                      <w:rFonts w:hint="eastAsia"/>
                      <w:color w:val="000000"/>
                      <w:sz w:val="21"/>
                      <w:szCs w:val="21"/>
                      <w:lang w:val="en-US" w:eastAsia="zh-CN"/>
                    </w:rPr>
                    <w:t>油类物质</w:t>
                  </w:r>
                </w:p>
              </w:tc>
              <w:tc>
                <w:tcPr>
                  <w:tcW w:w="1392" w:type="pct"/>
                  <w:tcBorders>
                    <w:tl2br w:val="nil"/>
                    <w:tr2bl w:val="nil"/>
                  </w:tcBorders>
                  <w:noWrap w:val="0"/>
                  <w:vAlign w:val="center"/>
                </w:tcPr>
                <w:p w14:paraId="33D1E797">
                  <w:pPr>
                    <w:bidi w:val="0"/>
                    <w:jc w:val="center"/>
                    <w:rPr>
                      <w:rFonts w:hint="default"/>
                      <w:color w:val="000000"/>
                      <w:kern w:val="2"/>
                      <w:sz w:val="21"/>
                      <w:szCs w:val="21"/>
                      <w:lang w:val="en-US" w:eastAsia="zh-CN" w:bidi="ar-SA"/>
                    </w:rPr>
                  </w:pPr>
                  <w:r>
                    <w:rPr>
                      <w:rFonts w:hint="eastAsia"/>
                      <w:color w:val="000000"/>
                      <w:sz w:val="21"/>
                      <w:szCs w:val="21"/>
                      <w:lang w:val="en-US" w:eastAsia="zh-CN"/>
                    </w:rPr>
                    <w:t>32.725</w:t>
                  </w:r>
                </w:p>
              </w:tc>
              <w:tc>
                <w:tcPr>
                  <w:tcW w:w="1091" w:type="pct"/>
                  <w:tcBorders>
                    <w:tl2br w:val="nil"/>
                    <w:tr2bl w:val="nil"/>
                  </w:tcBorders>
                  <w:noWrap w:val="0"/>
                  <w:vAlign w:val="center"/>
                </w:tcPr>
                <w:p w14:paraId="09639B8C">
                  <w:pPr>
                    <w:bidi w:val="0"/>
                    <w:jc w:val="center"/>
                    <w:rPr>
                      <w:rFonts w:hint="default"/>
                      <w:color w:val="000000"/>
                      <w:kern w:val="2"/>
                      <w:sz w:val="21"/>
                      <w:szCs w:val="21"/>
                      <w:lang w:val="en-US" w:eastAsia="zh-CN" w:bidi="ar-SA"/>
                    </w:rPr>
                  </w:pPr>
                  <w:r>
                    <w:rPr>
                      <w:rFonts w:hint="default"/>
                      <w:color w:val="000000"/>
                      <w:sz w:val="21"/>
                      <w:szCs w:val="21"/>
                      <w:lang w:val="en-US" w:eastAsia="zh-CN"/>
                    </w:rPr>
                    <w:t>2500</w:t>
                  </w:r>
                </w:p>
              </w:tc>
              <w:tc>
                <w:tcPr>
                  <w:tcW w:w="824" w:type="pct"/>
                  <w:tcBorders>
                    <w:tl2br w:val="nil"/>
                    <w:tr2bl w:val="nil"/>
                  </w:tcBorders>
                  <w:noWrap w:val="0"/>
                  <w:vAlign w:val="center"/>
                </w:tcPr>
                <w:p w14:paraId="356F5F3B">
                  <w:pPr>
                    <w:bidi w:val="0"/>
                    <w:jc w:val="center"/>
                    <w:rPr>
                      <w:rFonts w:hint="default"/>
                      <w:color w:val="000000"/>
                      <w:sz w:val="21"/>
                      <w:szCs w:val="21"/>
                      <w:lang w:val="en-US" w:eastAsia="zh-CN"/>
                    </w:rPr>
                  </w:pPr>
                  <w:r>
                    <w:rPr>
                      <w:rFonts w:hint="default"/>
                      <w:color w:val="000000"/>
                      <w:sz w:val="21"/>
                      <w:szCs w:val="21"/>
                      <w:lang w:val="en-US" w:eastAsia="zh-CN"/>
                    </w:rPr>
                    <w:t>0.0</w:t>
                  </w:r>
                  <w:r>
                    <w:rPr>
                      <w:rFonts w:hint="eastAsia"/>
                      <w:color w:val="000000"/>
                      <w:sz w:val="21"/>
                      <w:szCs w:val="21"/>
                      <w:lang w:val="en-US" w:eastAsia="zh-CN"/>
                    </w:rPr>
                    <w:t>1309</w:t>
                  </w:r>
                </w:p>
              </w:tc>
            </w:tr>
            <w:tr w14:paraId="7A77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pct"/>
                  <w:tcBorders>
                    <w:tl2br w:val="nil"/>
                    <w:tr2bl w:val="nil"/>
                  </w:tcBorders>
                  <w:noWrap w:val="0"/>
                  <w:vAlign w:val="center"/>
                </w:tcPr>
                <w:p w14:paraId="54F5712B">
                  <w:pPr>
                    <w:bidi w:val="0"/>
                    <w:jc w:val="center"/>
                    <w:rPr>
                      <w:rFonts w:hint="default"/>
                      <w:color w:val="000000"/>
                      <w:sz w:val="21"/>
                      <w:szCs w:val="21"/>
                      <w:lang w:val="en-US" w:eastAsia="zh-CN"/>
                    </w:rPr>
                  </w:pPr>
                  <w:r>
                    <w:rPr>
                      <w:rFonts w:hint="eastAsia"/>
                      <w:color w:val="000000"/>
                      <w:sz w:val="21"/>
                      <w:szCs w:val="21"/>
                      <w:lang w:val="en-US" w:eastAsia="zh-CN"/>
                    </w:rPr>
                    <w:t>3</w:t>
                  </w:r>
                </w:p>
              </w:tc>
              <w:tc>
                <w:tcPr>
                  <w:tcW w:w="1026" w:type="pct"/>
                  <w:tcBorders>
                    <w:tl2br w:val="nil"/>
                    <w:tr2bl w:val="nil"/>
                  </w:tcBorders>
                  <w:noWrap w:val="0"/>
                  <w:vAlign w:val="center"/>
                </w:tcPr>
                <w:p w14:paraId="6DF683C7">
                  <w:pPr>
                    <w:bidi w:val="0"/>
                    <w:jc w:val="center"/>
                    <w:rPr>
                      <w:rFonts w:hint="default"/>
                      <w:color w:val="000000"/>
                      <w:sz w:val="21"/>
                      <w:szCs w:val="21"/>
                      <w:lang w:val="en-US" w:eastAsia="zh-CN"/>
                    </w:rPr>
                  </w:pPr>
                  <w:r>
                    <w:rPr>
                      <w:rFonts w:hint="default"/>
                      <w:color w:val="000000"/>
                      <w:sz w:val="21"/>
                      <w:szCs w:val="21"/>
                      <w:lang w:val="en-US" w:eastAsia="zh-CN"/>
                    </w:rPr>
                    <w:t>油泥</w:t>
                  </w:r>
                </w:p>
              </w:tc>
              <w:tc>
                <w:tcPr>
                  <w:tcW w:w="1392" w:type="pct"/>
                  <w:tcBorders>
                    <w:tl2br w:val="nil"/>
                    <w:tr2bl w:val="nil"/>
                  </w:tcBorders>
                  <w:noWrap w:val="0"/>
                  <w:vAlign w:val="center"/>
                </w:tcPr>
                <w:p w14:paraId="31B83C59">
                  <w:pPr>
                    <w:bidi w:val="0"/>
                    <w:jc w:val="center"/>
                    <w:rPr>
                      <w:rFonts w:hint="default"/>
                      <w:color w:val="000000"/>
                      <w:kern w:val="2"/>
                      <w:sz w:val="21"/>
                      <w:szCs w:val="21"/>
                      <w:lang w:val="en-US" w:eastAsia="zh-CN" w:bidi="ar-SA"/>
                    </w:rPr>
                  </w:pPr>
                  <w:r>
                    <w:rPr>
                      <w:rFonts w:hint="default"/>
                      <w:color w:val="000000"/>
                      <w:sz w:val="21"/>
                      <w:szCs w:val="21"/>
                      <w:lang w:val="en-US" w:eastAsia="zh-CN"/>
                    </w:rPr>
                    <w:t>0.</w:t>
                  </w:r>
                  <w:r>
                    <w:rPr>
                      <w:rFonts w:hint="eastAsia"/>
                      <w:color w:val="000000"/>
                      <w:sz w:val="21"/>
                      <w:szCs w:val="21"/>
                      <w:lang w:val="en-US" w:eastAsia="zh-CN"/>
                    </w:rPr>
                    <w:t>2</w:t>
                  </w:r>
                </w:p>
              </w:tc>
              <w:tc>
                <w:tcPr>
                  <w:tcW w:w="1091" w:type="pct"/>
                  <w:tcBorders>
                    <w:tl2br w:val="nil"/>
                    <w:tr2bl w:val="nil"/>
                  </w:tcBorders>
                  <w:noWrap w:val="0"/>
                  <w:vAlign w:val="center"/>
                </w:tcPr>
                <w:p w14:paraId="07D7D3BB">
                  <w:pPr>
                    <w:bidi w:val="0"/>
                    <w:jc w:val="center"/>
                    <w:rPr>
                      <w:rFonts w:hint="default"/>
                      <w:color w:val="000000"/>
                      <w:kern w:val="2"/>
                      <w:sz w:val="21"/>
                      <w:szCs w:val="21"/>
                      <w:lang w:val="en-US" w:eastAsia="zh-CN" w:bidi="ar-SA"/>
                    </w:rPr>
                  </w:pPr>
                  <w:r>
                    <w:rPr>
                      <w:rFonts w:hint="default"/>
                      <w:color w:val="000000"/>
                      <w:sz w:val="21"/>
                      <w:szCs w:val="21"/>
                      <w:lang w:val="en-US" w:eastAsia="zh-CN"/>
                    </w:rPr>
                    <w:t>2500</w:t>
                  </w:r>
                </w:p>
              </w:tc>
              <w:tc>
                <w:tcPr>
                  <w:tcW w:w="824" w:type="pct"/>
                  <w:tcBorders>
                    <w:tl2br w:val="nil"/>
                    <w:tr2bl w:val="nil"/>
                  </w:tcBorders>
                  <w:noWrap w:val="0"/>
                  <w:vAlign w:val="center"/>
                </w:tcPr>
                <w:p w14:paraId="1F16FD74">
                  <w:pPr>
                    <w:bidi w:val="0"/>
                    <w:jc w:val="center"/>
                    <w:rPr>
                      <w:rFonts w:hint="default"/>
                      <w:color w:val="000000"/>
                      <w:sz w:val="21"/>
                      <w:szCs w:val="21"/>
                      <w:lang w:val="en-US" w:eastAsia="zh-CN"/>
                    </w:rPr>
                  </w:pPr>
                  <w:r>
                    <w:rPr>
                      <w:rFonts w:hint="default"/>
                      <w:color w:val="000000"/>
                      <w:sz w:val="21"/>
                      <w:szCs w:val="21"/>
                      <w:lang w:val="en-US" w:eastAsia="zh-CN"/>
                    </w:rPr>
                    <w:t>0.000</w:t>
                  </w:r>
                  <w:r>
                    <w:rPr>
                      <w:rFonts w:hint="eastAsia"/>
                      <w:color w:val="000000"/>
                      <w:sz w:val="21"/>
                      <w:szCs w:val="21"/>
                      <w:lang w:val="en-US" w:eastAsia="zh-CN"/>
                    </w:rPr>
                    <w:t>08</w:t>
                  </w:r>
                </w:p>
              </w:tc>
            </w:tr>
            <w:tr w14:paraId="0E0C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5" w:type="pct"/>
                  <w:gridSpan w:val="4"/>
                  <w:tcBorders>
                    <w:tl2br w:val="nil"/>
                    <w:tr2bl w:val="nil"/>
                  </w:tcBorders>
                  <w:noWrap w:val="0"/>
                  <w:vAlign w:val="center"/>
                </w:tcPr>
                <w:p w14:paraId="07E74256">
                  <w:pPr>
                    <w:bidi w:val="0"/>
                    <w:jc w:val="center"/>
                    <w:rPr>
                      <w:rFonts w:hint="default"/>
                      <w:color w:val="000000"/>
                      <w:sz w:val="21"/>
                      <w:szCs w:val="21"/>
                      <w:lang w:val="en-US" w:eastAsia="zh-CN"/>
                    </w:rPr>
                  </w:pPr>
                  <w:r>
                    <w:rPr>
                      <w:rFonts w:hint="default"/>
                      <w:color w:val="000000"/>
                      <w:sz w:val="21"/>
                      <w:szCs w:val="21"/>
                      <w:lang w:val="en-US" w:eastAsia="zh-CN"/>
                    </w:rPr>
                    <w:t>合计</w:t>
                  </w:r>
                </w:p>
              </w:tc>
              <w:tc>
                <w:tcPr>
                  <w:tcW w:w="824" w:type="pct"/>
                  <w:tcBorders>
                    <w:tl2br w:val="nil"/>
                    <w:tr2bl w:val="nil"/>
                  </w:tcBorders>
                  <w:noWrap w:val="0"/>
                  <w:vAlign w:val="center"/>
                </w:tcPr>
                <w:p w14:paraId="5CC005B8">
                  <w:pPr>
                    <w:bidi w:val="0"/>
                    <w:jc w:val="center"/>
                    <w:rPr>
                      <w:rFonts w:hint="default"/>
                      <w:color w:val="000000"/>
                      <w:sz w:val="21"/>
                      <w:szCs w:val="21"/>
                      <w:lang w:val="en-US" w:eastAsia="zh-CN"/>
                    </w:rPr>
                  </w:pPr>
                  <w:r>
                    <w:rPr>
                      <w:rFonts w:hint="eastAsia"/>
                      <w:color w:val="000000"/>
                      <w:sz w:val="21"/>
                      <w:szCs w:val="21"/>
                      <w:lang w:val="en-US" w:eastAsia="zh-CN"/>
                    </w:rPr>
                    <w:t>0.61517</w:t>
                  </w:r>
                </w:p>
              </w:tc>
            </w:tr>
          </w:tbl>
          <w:p w14:paraId="58537F25">
            <w:pPr>
              <w:adjustRightInd w:val="0"/>
              <w:spacing w:line="360" w:lineRule="auto"/>
              <w:ind w:firstLine="480" w:firstLineChars="200"/>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综上，本项目风险物质Q值均小于1，不构成重大危险源。</w:t>
            </w:r>
          </w:p>
          <w:p w14:paraId="6B7C9B9A">
            <w:pPr>
              <w:adjustRightInd w:val="0"/>
              <w:spacing w:line="360" w:lineRule="auto"/>
              <w:ind w:firstLine="480" w:firstLineChars="200"/>
              <w:rPr>
                <w:rFonts w:ascii="宋体" w:hAnsi="宋体" w:eastAsia="宋体" w:cs="宋体"/>
                <w:sz w:val="24"/>
                <w:szCs w:val="24"/>
              </w:rPr>
            </w:pPr>
            <w:r>
              <w:rPr>
                <w:rFonts w:hint="default" w:ascii="宋体" w:hAnsi="宋体" w:eastAsia="宋体" w:cs="宋体"/>
                <w:sz w:val="24"/>
                <w:szCs w:val="24"/>
              </w:rPr>
              <w:t>②</w:t>
            </w:r>
            <w:r>
              <w:rPr>
                <w:rFonts w:ascii="宋体" w:hAnsi="宋体" w:eastAsia="宋体" w:cs="宋体"/>
                <w:sz w:val="24"/>
                <w:szCs w:val="24"/>
              </w:rPr>
              <w:t>风险评价工作等级</w:t>
            </w:r>
          </w:p>
          <w:p w14:paraId="31BD7C6B">
            <w:pPr>
              <w:adjustRightInd w:val="0"/>
              <w:spacing w:line="360" w:lineRule="auto"/>
              <w:ind w:firstLine="480" w:firstLineChars="200"/>
              <w:rPr>
                <w:rFonts w:hint="default" w:ascii="宋体" w:hAnsi="宋体" w:eastAsia="宋体" w:cs="宋体"/>
                <w:sz w:val="24"/>
                <w:szCs w:val="24"/>
                <w:lang w:val="en-US" w:eastAsia="zh-CN"/>
              </w:rPr>
            </w:pPr>
            <w:r>
              <w:rPr>
                <w:rFonts w:ascii="宋体" w:hAnsi="宋体" w:eastAsia="宋体" w:cs="宋体"/>
                <w:sz w:val="24"/>
                <w:szCs w:val="24"/>
              </w:rPr>
              <w:t>根据《建设项目环境风险评价技术导则》（HJ169-2018）确定风险评价等级。根据建设项目的物质危险性和功能单元重大危险源判定结果，本项目不涉及危险源，Q值小于1，直接确定项目评价等级为简单分析。具体评价工作级别划分见下表。</w:t>
            </w:r>
          </w:p>
          <w:p w14:paraId="6CFE999B">
            <w:pPr>
              <w:jc w:val="both"/>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表4-1</w:t>
            </w:r>
            <w:r>
              <w:rPr>
                <w:rFonts w:hint="eastAsia" w:cs="Times New Roman"/>
                <w:b/>
                <w:color w:val="auto"/>
                <w:sz w:val="24"/>
                <w:lang w:val="en-US" w:eastAsia="zh-CN"/>
              </w:rPr>
              <w:t>6</w:t>
            </w:r>
            <w:r>
              <w:rPr>
                <w:rFonts w:hint="eastAsia" w:ascii="Times New Roman" w:hAnsi="Times New Roman" w:cs="Times New Roman"/>
                <w:b/>
                <w:color w:val="auto"/>
                <w:sz w:val="24"/>
                <w:lang w:val="en-US" w:eastAsia="zh-CN"/>
              </w:rPr>
              <w:t xml:space="preserve">                 评价工作等级划分</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36"/>
              <w:gridCol w:w="1535"/>
              <w:gridCol w:w="2087"/>
              <w:gridCol w:w="1810"/>
              <w:gridCol w:w="1634"/>
            </w:tblGrid>
            <w:tr w14:paraId="7AD6D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940" w:type="pct"/>
                  <w:tcBorders>
                    <w:tl2br w:val="nil"/>
                    <w:tr2bl w:val="nil"/>
                  </w:tcBorders>
                  <w:vAlign w:val="center"/>
                </w:tcPr>
                <w:p w14:paraId="5BAFCD7C">
                  <w:pPr>
                    <w:pStyle w:val="67"/>
                    <w:rPr>
                      <w:rFonts w:ascii="Times New Roman" w:hAnsi="Times New Roman"/>
                      <w:color w:val="auto"/>
                      <w:szCs w:val="21"/>
                    </w:rPr>
                  </w:pPr>
                  <w:r>
                    <w:rPr>
                      <w:rFonts w:ascii="Times New Roman" w:hAnsi="Times New Roman"/>
                      <w:color w:val="auto"/>
                      <w:szCs w:val="21"/>
                    </w:rPr>
                    <w:t>环境风险潜势</w:t>
                  </w:r>
                </w:p>
              </w:tc>
              <w:tc>
                <w:tcPr>
                  <w:tcW w:w="882" w:type="pct"/>
                  <w:tcBorders>
                    <w:tl2br w:val="nil"/>
                    <w:tr2bl w:val="nil"/>
                  </w:tcBorders>
                  <w:vAlign w:val="center"/>
                </w:tcPr>
                <w:p w14:paraId="492A6A03">
                  <w:pPr>
                    <w:pStyle w:val="67"/>
                    <w:rPr>
                      <w:rFonts w:ascii="Times New Roman" w:hAnsi="Times New Roman"/>
                      <w:color w:val="auto"/>
                      <w:szCs w:val="21"/>
                    </w:rPr>
                  </w:pPr>
                  <w:r>
                    <w:rPr>
                      <w:rFonts w:ascii="Times New Roman" w:hAnsi="Times New Roman"/>
                      <w:color w:val="auto"/>
                      <w:szCs w:val="21"/>
                    </w:rPr>
                    <w:t>Ⅳ、Ⅳ +</w:t>
                  </w:r>
                </w:p>
              </w:tc>
              <w:tc>
                <w:tcPr>
                  <w:tcW w:w="1199" w:type="pct"/>
                  <w:tcBorders>
                    <w:tl2br w:val="nil"/>
                    <w:tr2bl w:val="nil"/>
                  </w:tcBorders>
                  <w:vAlign w:val="center"/>
                </w:tcPr>
                <w:p w14:paraId="23FD5758">
                  <w:pPr>
                    <w:pStyle w:val="67"/>
                    <w:rPr>
                      <w:rFonts w:ascii="Times New Roman" w:hAnsi="Times New Roman"/>
                      <w:color w:val="auto"/>
                      <w:szCs w:val="21"/>
                    </w:rPr>
                  </w:pPr>
                  <w:r>
                    <w:rPr>
                      <w:rFonts w:ascii="Times New Roman" w:hAnsi="Times New Roman"/>
                      <w:color w:val="auto"/>
                      <w:szCs w:val="21"/>
                    </w:rPr>
                    <w:t>Ⅲ</w:t>
                  </w:r>
                </w:p>
              </w:tc>
              <w:tc>
                <w:tcPr>
                  <w:tcW w:w="1040" w:type="pct"/>
                  <w:tcBorders>
                    <w:tl2br w:val="nil"/>
                    <w:tr2bl w:val="nil"/>
                  </w:tcBorders>
                  <w:vAlign w:val="center"/>
                </w:tcPr>
                <w:p w14:paraId="05A7868C">
                  <w:pPr>
                    <w:pStyle w:val="67"/>
                    <w:rPr>
                      <w:rFonts w:ascii="Times New Roman" w:hAnsi="Times New Roman"/>
                      <w:color w:val="auto"/>
                      <w:szCs w:val="21"/>
                    </w:rPr>
                  </w:pPr>
                  <w:r>
                    <w:rPr>
                      <w:rFonts w:ascii="Times New Roman" w:hAnsi="Times New Roman"/>
                      <w:color w:val="auto"/>
                      <w:szCs w:val="21"/>
                    </w:rPr>
                    <w:t>Ⅱ</w:t>
                  </w:r>
                </w:p>
              </w:tc>
              <w:tc>
                <w:tcPr>
                  <w:tcW w:w="936" w:type="pct"/>
                  <w:tcBorders>
                    <w:tl2br w:val="nil"/>
                    <w:tr2bl w:val="nil"/>
                  </w:tcBorders>
                  <w:vAlign w:val="center"/>
                </w:tcPr>
                <w:p w14:paraId="0CA4BB1D">
                  <w:pPr>
                    <w:pStyle w:val="67"/>
                    <w:rPr>
                      <w:rFonts w:ascii="Times New Roman" w:hAnsi="Times New Roman"/>
                      <w:color w:val="auto"/>
                      <w:szCs w:val="21"/>
                    </w:rPr>
                  </w:pPr>
                  <w:r>
                    <w:rPr>
                      <w:rFonts w:ascii="Times New Roman" w:hAnsi="Times New Roman"/>
                      <w:color w:val="auto"/>
                      <w:szCs w:val="21"/>
                    </w:rPr>
                    <w:t>Ⅰ</w:t>
                  </w:r>
                </w:p>
              </w:tc>
            </w:tr>
            <w:tr w14:paraId="15273A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940" w:type="pct"/>
                  <w:tcBorders>
                    <w:tl2br w:val="nil"/>
                    <w:tr2bl w:val="nil"/>
                  </w:tcBorders>
                  <w:vAlign w:val="center"/>
                </w:tcPr>
                <w:p w14:paraId="022C2DF2">
                  <w:pPr>
                    <w:pStyle w:val="67"/>
                    <w:rPr>
                      <w:rFonts w:ascii="Times New Roman" w:hAnsi="Times New Roman"/>
                      <w:color w:val="auto"/>
                      <w:szCs w:val="21"/>
                    </w:rPr>
                  </w:pPr>
                  <w:r>
                    <w:rPr>
                      <w:rFonts w:ascii="Times New Roman" w:hAnsi="Times New Roman"/>
                      <w:color w:val="auto"/>
                      <w:szCs w:val="21"/>
                    </w:rPr>
                    <w:t>评价工作等级</w:t>
                  </w:r>
                </w:p>
              </w:tc>
              <w:tc>
                <w:tcPr>
                  <w:tcW w:w="882" w:type="pct"/>
                  <w:tcBorders>
                    <w:tl2br w:val="nil"/>
                    <w:tr2bl w:val="nil"/>
                  </w:tcBorders>
                  <w:vAlign w:val="center"/>
                </w:tcPr>
                <w:p w14:paraId="3DC8134A">
                  <w:pPr>
                    <w:pStyle w:val="67"/>
                    <w:rPr>
                      <w:rFonts w:ascii="Times New Roman" w:hAnsi="Times New Roman"/>
                      <w:color w:val="auto"/>
                      <w:szCs w:val="21"/>
                    </w:rPr>
                  </w:pPr>
                  <w:r>
                    <w:rPr>
                      <w:rFonts w:ascii="Times New Roman" w:hAnsi="Times New Roman"/>
                      <w:color w:val="auto"/>
                      <w:szCs w:val="21"/>
                    </w:rPr>
                    <w:t>一</w:t>
                  </w:r>
                </w:p>
              </w:tc>
              <w:tc>
                <w:tcPr>
                  <w:tcW w:w="1199" w:type="pct"/>
                  <w:tcBorders>
                    <w:tl2br w:val="nil"/>
                    <w:tr2bl w:val="nil"/>
                  </w:tcBorders>
                  <w:vAlign w:val="center"/>
                </w:tcPr>
                <w:p w14:paraId="37CC3074">
                  <w:pPr>
                    <w:pStyle w:val="67"/>
                    <w:rPr>
                      <w:rFonts w:ascii="Times New Roman" w:hAnsi="Times New Roman"/>
                      <w:color w:val="auto"/>
                      <w:szCs w:val="21"/>
                    </w:rPr>
                  </w:pPr>
                  <w:r>
                    <w:rPr>
                      <w:rFonts w:ascii="Times New Roman" w:hAnsi="Times New Roman"/>
                      <w:color w:val="auto"/>
                      <w:szCs w:val="21"/>
                    </w:rPr>
                    <w:t>二</w:t>
                  </w:r>
                </w:p>
              </w:tc>
              <w:tc>
                <w:tcPr>
                  <w:tcW w:w="1040" w:type="pct"/>
                  <w:tcBorders>
                    <w:tl2br w:val="nil"/>
                    <w:tr2bl w:val="nil"/>
                  </w:tcBorders>
                  <w:vAlign w:val="center"/>
                </w:tcPr>
                <w:p w14:paraId="74292007">
                  <w:pPr>
                    <w:pStyle w:val="67"/>
                    <w:rPr>
                      <w:rFonts w:ascii="Times New Roman" w:hAnsi="Times New Roman"/>
                      <w:color w:val="auto"/>
                      <w:szCs w:val="21"/>
                    </w:rPr>
                  </w:pPr>
                  <w:r>
                    <w:rPr>
                      <w:rFonts w:ascii="Times New Roman" w:hAnsi="Times New Roman"/>
                      <w:color w:val="auto"/>
                      <w:szCs w:val="21"/>
                    </w:rPr>
                    <w:t>三</w:t>
                  </w:r>
                </w:p>
              </w:tc>
              <w:tc>
                <w:tcPr>
                  <w:tcW w:w="936" w:type="pct"/>
                  <w:tcBorders>
                    <w:tl2br w:val="nil"/>
                    <w:tr2bl w:val="nil"/>
                  </w:tcBorders>
                  <w:vAlign w:val="center"/>
                </w:tcPr>
                <w:p w14:paraId="369A9B7B">
                  <w:pPr>
                    <w:pStyle w:val="67"/>
                    <w:rPr>
                      <w:rFonts w:ascii="Times New Roman" w:hAnsi="Times New Roman"/>
                      <w:color w:val="auto"/>
                      <w:szCs w:val="21"/>
                    </w:rPr>
                  </w:pPr>
                  <w:r>
                    <w:rPr>
                      <w:rFonts w:ascii="Times New Roman" w:hAnsi="Times New Roman"/>
                      <w:color w:val="auto"/>
                      <w:szCs w:val="21"/>
                    </w:rPr>
                    <w:t>简单分析</w:t>
                  </w:r>
                </w:p>
              </w:tc>
            </w:tr>
            <w:tr w14:paraId="79DFA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 w:hRule="atLeast"/>
                <w:jc w:val="center"/>
              </w:trPr>
              <w:tc>
                <w:tcPr>
                  <w:tcW w:w="5000" w:type="pct"/>
                  <w:gridSpan w:val="5"/>
                  <w:tcBorders>
                    <w:tl2br w:val="nil"/>
                    <w:tr2bl w:val="nil"/>
                  </w:tcBorders>
                  <w:vAlign w:val="center"/>
                </w:tcPr>
                <w:p w14:paraId="0CA99D1F">
                  <w:pPr>
                    <w:pStyle w:val="67"/>
                    <w:rPr>
                      <w:rFonts w:ascii="Times New Roman" w:hAnsi="Times New Roman"/>
                      <w:color w:val="auto"/>
                      <w:szCs w:val="21"/>
                    </w:rPr>
                  </w:pPr>
                  <w:r>
                    <w:rPr>
                      <w:rFonts w:ascii="Times New Roman" w:hAnsi="Times New Roman"/>
                      <w:color w:val="auto"/>
                      <w:szCs w:val="21"/>
                    </w:rPr>
                    <w:t>a 是相对于详细评价工作内容而言，在描述危险物质、环境影响途径、环境危害后果、风险防范措施等方面给出定性的说明。</w:t>
                  </w:r>
                </w:p>
              </w:tc>
            </w:tr>
          </w:tbl>
          <w:p w14:paraId="1CAA813A">
            <w:pPr>
              <w:adjustRightInd w:val="0"/>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本项目环境风险简单分析内容见下表。</w:t>
            </w:r>
          </w:p>
          <w:p w14:paraId="11327625">
            <w:pPr>
              <w:jc w:val="both"/>
              <w:rPr>
                <w:rFonts w:hint="default" w:ascii="Times New Roman" w:hAnsi="Times New Roman" w:cs="Times New Roman"/>
                <w:b/>
                <w:color w:val="auto"/>
                <w:sz w:val="24"/>
                <w:lang w:val="en-US" w:eastAsia="zh-CN"/>
              </w:rPr>
            </w:pPr>
            <w:r>
              <w:rPr>
                <w:rFonts w:hint="eastAsia" w:ascii="Times New Roman" w:hAnsi="Times New Roman" w:cs="Times New Roman"/>
                <w:b/>
                <w:color w:val="auto"/>
                <w:sz w:val="24"/>
                <w:lang w:val="en-US" w:eastAsia="zh-CN"/>
              </w:rPr>
              <w:t>表4-1</w:t>
            </w:r>
            <w:r>
              <w:rPr>
                <w:rFonts w:hint="eastAsia" w:cs="Times New Roman"/>
                <w:b/>
                <w:color w:val="auto"/>
                <w:sz w:val="24"/>
                <w:lang w:val="en-US" w:eastAsia="zh-CN"/>
              </w:rPr>
              <w:t>7</w:t>
            </w:r>
            <w:r>
              <w:rPr>
                <w:rFonts w:hint="eastAsia" w:ascii="Times New Roman" w:hAnsi="Times New Roman" w:cs="Times New Roman"/>
                <w:b/>
                <w:color w:val="auto"/>
                <w:sz w:val="24"/>
                <w:lang w:val="en-US" w:eastAsia="zh-CN"/>
              </w:rPr>
              <w:t xml:space="preserve">    </w:t>
            </w:r>
            <w:r>
              <w:rPr>
                <w:rFonts w:hint="eastAsia" w:cs="Times New Roman"/>
                <w:b/>
                <w:color w:val="auto"/>
                <w:sz w:val="24"/>
                <w:lang w:val="en-US" w:eastAsia="zh-CN"/>
              </w:rPr>
              <w:t xml:space="preserve">    </w:t>
            </w:r>
            <w:r>
              <w:rPr>
                <w:rFonts w:hint="eastAsia" w:ascii="Times New Roman" w:hAnsi="Times New Roman" w:cs="Times New Roman"/>
                <w:b/>
                <w:color w:val="auto"/>
                <w:sz w:val="24"/>
                <w:lang w:val="en-US" w:eastAsia="zh-CN"/>
              </w:rPr>
              <w:t xml:space="preserve"> 建设项目环境风险简单分析内容表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7071"/>
            </w:tblGrid>
            <w:tr w14:paraId="69813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9" w:type="dxa"/>
                  <w:vAlign w:val="center"/>
                </w:tcPr>
                <w:p w14:paraId="36A425D8">
                  <w:pPr>
                    <w:pStyle w:val="67"/>
                    <w:jc w:val="center"/>
                    <w:rPr>
                      <w:rFonts w:hint="default" w:ascii="Times New Roman" w:hAnsi="Times New Roman"/>
                      <w:b/>
                      <w:bCs/>
                      <w:color w:val="auto"/>
                      <w:szCs w:val="21"/>
                      <w:lang w:val="en-US" w:eastAsia="zh-CN"/>
                    </w:rPr>
                  </w:pPr>
                  <w:r>
                    <w:rPr>
                      <w:rFonts w:hint="eastAsia" w:ascii="Times New Roman" w:hAnsi="Times New Roman"/>
                      <w:b/>
                      <w:bCs/>
                      <w:color w:val="auto"/>
                      <w:szCs w:val="21"/>
                      <w:lang w:val="en-US" w:eastAsia="zh-CN"/>
                    </w:rPr>
                    <w:t>建设项目名称</w:t>
                  </w:r>
                </w:p>
              </w:tc>
              <w:tc>
                <w:tcPr>
                  <w:tcW w:w="7071" w:type="dxa"/>
                  <w:vAlign w:val="center"/>
                </w:tcPr>
                <w:p w14:paraId="467B6CFC">
                  <w:pPr>
                    <w:pStyle w:val="67"/>
                    <w:jc w:val="center"/>
                    <w:rPr>
                      <w:rFonts w:hint="eastAsia" w:ascii="Times New Roman" w:hAnsi="Times New Roman"/>
                      <w:b/>
                      <w:bCs/>
                      <w:color w:val="auto"/>
                      <w:szCs w:val="21"/>
                      <w:lang w:val="en-US" w:eastAsia="zh-CN"/>
                    </w:rPr>
                  </w:pPr>
                  <w:r>
                    <w:rPr>
                      <w:rFonts w:hint="eastAsia" w:ascii="Times New Roman" w:hAnsi="Times New Roman"/>
                      <w:b/>
                      <w:bCs/>
                      <w:color w:val="auto"/>
                      <w:szCs w:val="21"/>
                      <w:lang w:val="en-US" w:eastAsia="zh-CN"/>
                    </w:rPr>
                    <w:t>可克达拉市农康废品回收中心报废农机回收项目</w:t>
                  </w:r>
                </w:p>
              </w:tc>
            </w:tr>
            <w:tr w14:paraId="1D0F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9" w:type="dxa"/>
                  <w:vAlign w:val="center"/>
                </w:tcPr>
                <w:p w14:paraId="1268D60E">
                  <w:pPr>
                    <w:pStyle w:val="67"/>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主要危险物质及分布</w:t>
                  </w:r>
                </w:p>
              </w:tc>
              <w:tc>
                <w:tcPr>
                  <w:tcW w:w="7071" w:type="dxa"/>
                  <w:vAlign w:val="center"/>
                </w:tcPr>
                <w:p w14:paraId="7F15CBFB">
                  <w:pPr>
                    <w:pStyle w:val="67"/>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危险废物，位于危废暂存间。</w:t>
                  </w:r>
                </w:p>
              </w:tc>
            </w:tr>
            <w:tr w14:paraId="5251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9" w:type="dxa"/>
                  <w:vAlign w:val="center"/>
                </w:tcPr>
                <w:p w14:paraId="5B2D6A73">
                  <w:pPr>
                    <w:pStyle w:val="67"/>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环境影响途径及危害后果（大气、地表水、固体废物等）</w:t>
                  </w:r>
                </w:p>
              </w:tc>
              <w:tc>
                <w:tcPr>
                  <w:tcW w:w="7071" w:type="dxa"/>
                  <w:vAlign w:val="center"/>
                </w:tcPr>
                <w:p w14:paraId="5C6AE9BA">
                  <w:pPr>
                    <w:pStyle w:val="67"/>
                    <w:numPr>
                      <w:ilvl w:val="0"/>
                      <w:numId w:val="3"/>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大气环境影响：生产过程中废气主要污染物为颗粒物、非甲烷总烃，大气环境影响主要体现在废气处理设施事故性排放，会造成大气污染物短期浓度增高现象，及早发现和处理可减缓事故情况事故影响；</w:t>
                  </w:r>
                </w:p>
                <w:p w14:paraId="584B7F5B">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2、地表水环境影响：外排废水主要为生产废水、生活污水，地表水影响主要体现在管网堵塞，废水出现事故性排放，同时危险固废暂存过程发生的泄漏风险，会影响周边地表水体以及地下水水质造成一定的影响，污水处理装置的废水污染物较为简单，及早发现和处理可减缓事故情况事故影响，危险固废储存过程中泄漏产生的风险，该类物质主要为石油类物质、重金属，且泄漏浓度极高，通过预防该类事故的发生，可将该影响降至最低；</w:t>
                  </w:r>
                </w:p>
                <w:p w14:paraId="26D32307">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3、固体废物对环境影响：项目危险固废主要为非燃油类废油液、废制冷剂、废蓄电池、废电容电路板、废尾气净化装置、隔油池油泥、含油抹布等，项目固体废物通过贮存在危废暂存库，正常情况下对周边环境影响较小，事故情况主要表现为危险废物防渗要求不达标或破裂发生泄漏风险，主要影响地表水、地下水及土壤环境，同时油类物质挥发产生的气体对周边环境造成影响。</w:t>
                  </w:r>
                </w:p>
              </w:tc>
            </w:tr>
            <w:tr w14:paraId="504F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9" w:type="dxa"/>
                  <w:vAlign w:val="center"/>
                </w:tcPr>
                <w:p w14:paraId="0867AC7D">
                  <w:pPr>
                    <w:pStyle w:val="67"/>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风险防范措施要求</w:t>
                  </w:r>
                </w:p>
              </w:tc>
              <w:tc>
                <w:tcPr>
                  <w:tcW w:w="7071" w:type="dxa"/>
                  <w:vAlign w:val="center"/>
                </w:tcPr>
                <w:p w14:paraId="19553745">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1、贮存：危废暂存间远离明火，并标有警示标志，设置在阴凉的仓库内，危险废物存放设置防腐防渗防漏措施，并按《危险废物贮存污染控制标准》（GB18597-2023）的要求进行设计、建造和管理。</w:t>
                  </w:r>
                </w:p>
                <w:p w14:paraId="1B1C4DDA">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2、生产：严格规范工作人员操作规范，遇到生产机械和环保设施失灵或事故性排放情况时及时停止生产，并对其进行检修，直到正常运行方可进行生产，在生产过程中应确保各生产装置正常工作，并加强监护与管理工作。</w:t>
                  </w:r>
                </w:p>
                <w:p w14:paraId="3F5E3F5E">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3、总平布局应做到功能区明确互不影响，运输便捷顺畅，建筑间距合适并满足防火要求。本项目厂房具体的耐火等级、防火间隔、防火分区和防火构造均应严格按照《建筑设计防火规范》(GB50016-2014[2018年版])的要求进行设计和建设。</w:t>
                  </w:r>
                </w:p>
                <w:p w14:paraId="79D39977">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4、编制突发环境事件应急预案：制定风险事故应急预案的目的是在发生风险事故时，以最快的速度发挥最大的效能，有序的实施救援，尽快控制事态的发展，降低事故造成的危害，减少事故造成的损失。</w:t>
                  </w:r>
                </w:p>
              </w:tc>
            </w:tr>
            <w:tr w14:paraId="5439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9" w:type="dxa"/>
                  <w:vAlign w:val="center"/>
                </w:tcPr>
                <w:p w14:paraId="789FB2C8">
                  <w:pPr>
                    <w:pStyle w:val="67"/>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填表说明（列出项目相关信息及评价说明）</w:t>
                  </w:r>
                </w:p>
              </w:tc>
              <w:tc>
                <w:tcPr>
                  <w:tcW w:w="7071" w:type="dxa"/>
                  <w:vAlign w:val="center"/>
                </w:tcPr>
                <w:p w14:paraId="203D7084">
                  <w:pPr>
                    <w:pStyle w:val="67"/>
                    <w:numPr>
                      <w:ilvl w:val="0"/>
                      <w:numId w:val="0"/>
                    </w:numPr>
                    <w:jc w:val="left"/>
                    <w:rPr>
                      <w:rFonts w:hint="eastAsia" w:ascii="Times New Roman" w:hAnsi="Times New Roman"/>
                      <w:color w:val="auto"/>
                      <w:szCs w:val="21"/>
                      <w:lang w:val="en-US" w:eastAsia="zh-CN"/>
                    </w:rPr>
                  </w:pPr>
                  <w:r>
                    <w:rPr>
                      <w:rFonts w:hint="eastAsia" w:ascii="Times New Roman" w:hAnsi="Times New Roman"/>
                      <w:color w:val="auto"/>
                      <w:szCs w:val="21"/>
                      <w:lang w:val="en-US" w:eastAsia="zh-CN"/>
                    </w:rPr>
                    <w:t>项目环境风险潜势为Ⅰ，评价等级属于简单分析，总体上环境风险很小且易于控制，只要能够切实有效的做好污染防治措施，做好防火、防爆、安全教育工作及火灾发生和的处理工作，对环境影响很小。</w:t>
                  </w:r>
                </w:p>
              </w:tc>
            </w:tr>
          </w:tbl>
          <w:p w14:paraId="4879D413">
            <w:pPr>
              <w:pStyle w:val="36"/>
              <w:numPr>
                <w:ilvl w:val="0"/>
                <w:numId w:val="0"/>
              </w:numPr>
              <w:spacing w:line="360" w:lineRule="auto"/>
              <w:rPr>
                <w:rFonts w:hint="default" w:ascii="Times New Roman" w:hAnsi="Times New Roman" w:cs="Times New Roman"/>
                <w:b/>
                <w:bCs/>
                <w:color w:val="auto"/>
                <w:kern w:val="44"/>
                <w:sz w:val="24"/>
                <w:szCs w:val="24"/>
                <w:highlight w:val="none"/>
                <w:lang w:val="en-US" w:eastAsia="zh-CN" w:bidi="ar-SA"/>
              </w:rPr>
            </w:pPr>
            <w:r>
              <w:rPr>
                <w:rFonts w:hint="eastAsia" w:ascii="Times New Roman" w:hAnsi="Times New Roman" w:cs="Times New Roman"/>
                <w:b/>
                <w:bCs/>
                <w:color w:val="auto"/>
                <w:kern w:val="44"/>
                <w:sz w:val="24"/>
                <w:szCs w:val="24"/>
                <w:highlight w:val="none"/>
                <w:lang w:val="en-US" w:eastAsia="zh-CN" w:bidi="ar-SA"/>
              </w:rPr>
              <w:t>3、风险防范措施</w:t>
            </w:r>
          </w:p>
          <w:p w14:paraId="66BFB9A0">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w:t>
            </w:r>
            <w:r>
              <w:rPr>
                <w:rFonts w:hint="eastAsia" w:ascii="宋体" w:hAnsi="宋体" w:eastAsia="宋体" w:cs="宋体"/>
                <w:b/>
                <w:bCs/>
                <w:sz w:val="24"/>
                <w:szCs w:val="24"/>
              </w:rPr>
              <w:t>强化管理及安全生产</w:t>
            </w:r>
          </w:p>
          <w:p w14:paraId="64E4465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①强化安全及环境保护意识的教育，提供职工的素质，加强操作人员的上岗前培训，进行安全生产、消毒、环保、职业卫生等方面的技术培训教育。</w:t>
            </w:r>
          </w:p>
          <w:p w14:paraId="6A8DF6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②强化安全生产管理，必须制定完善的岗位责任制，严格遵守操作规程，严格按照《化学危险品管理条例》及国家、地方关于易然、易爆、有毒有害物料的贮运安全规定。</w:t>
            </w:r>
          </w:p>
          <w:p w14:paraId="147230E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③建立健全的环保及安全管理部门，负责加强监督检查，按规定监测厂内外空气中的有毒有害物质，及时发现，立即处理，避免污染。</w:t>
            </w:r>
            <w:r>
              <w:rPr>
                <w:rFonts w:ascii="宋体" w:hAnsi="宋体" w:eastAsia="宋体" w:cs="宋体"/>
                <w:sz w:val="24"/>
                <w:szCs w:val="24"/>
              </w:rPr>
              <w:t>尽管环境风险的客观存在无法改变，但通过科学的设计、操作和管理，可将风险事故发生的可能性和危害性降到最低</w:t>
            </w:r>
            <w:r>
              <w:rPr>
                <w:rFonts w:hint="eastAsia" w:ascii="宋体" w:hAnsi="宋体" w:eastAsia="宋体" w:cs="宋体"/>
                <w:sz w:val="24"/>
                <w:szCs w:val="24"/>
              </w:rPr>
              <w:t>程度，达到预防事故发生的目的。</w:t>
            </w:r>
          </w:p>
          <w:p w14:paraId="31019B92">
            <w:pPr>
              <w:adjustRightInd w:val="0"/>
              <w:snapToGrid w:val="0"/>
              <w:spacing w:line="360" w:lineRule="auto"/>
              <w:ind w:firstLine="480" w:firstLineChars="200"/>
              <w:rPr>
                <w:rFonts w:hint="eastAsia" w:ascii="宋体" w:hAnsi="宋体" w:eastAsia="宋体" w:cs="宋体"/>
                <w:sz w:val="24"/>
                <w:szCs w:val="24"/>
                <w:lang w:eastAsia="zh-CN"/>
              </w:rPr>
            </w:pPr>
            <w:r>
              <w:rPr>
                <w:rFonts w:hint="default" w:ascii="宋体" w:hAnsi="宋体" w:eastAsia="宋体" w:cs="宋体"/>
                <w:sz w:val="24"/>
                <w:szCs w:val="24"/>
              </w:rPr>
              <w:t>④</w:t>
            </w:r>
            <w:r>
              <w:rPr>
                <w:rFonts w:hint="eastAsia" w:ascii="宋体" w:hAnsi="宋体" w:eastAsia="宋体" w:cs="宋体"/>
                <w:sz w:val="24"/>
                <w:szCs w:val="24"/>
              </w:rPr>
              <w:t>加强危废暂存间管理，贮存期间分类存放，功能区内部和相互之间保持一定的通道和宽度，设置相应的安全标志，及时清运减少贮存量，建立严格的巡检制度，车间安装换气扇，加强车间通风，暂存间严格</w:t>
            </w:r>
            <w:r>
              <w:rPr>
                <w:rFonts w:hint="eastAsia" w:ascii="宋体" w:hAnsi="宋体" w:cs="宋体"/>
                <w:sz w:val="24"/>
                <w:szCs w:val="24"/>
                <w:lang w:val="en-US" w:eastAsia="zh-CN"/>
              </w:rPr>
              <w:t>防渗</w:t>
            </w:r>
            <w:r>
              <w:rPr>
                <w:rFonts w:hint="eastAsia" w:ascii="宋体" w:hAnsi="宋体" w:cs="宋体"/>
                <w:sz w:val="24"/>
                <w:szCs w:val="24"/>
                <w:lang w:eastAsia="zh-CN"/>
              </w:rPr>
              <w:t>。</w:t>
            </w:r>
          </w:p>
          <w:p w14:paraId="11F3F673">
            <w:pPr>
              <w:adjustRightInd w:val="0"/>
              <w:snapToGrid w:val="0"/>
              <w:spacing w:line="360" w:lineRule="auto"/>
              <w:ind w:firstLine="482" w:firstLineChars="200"/>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（2）发生物料泄漏事故的处理措施</w:t>
            </w:r>
          </w:p>
          <w:p w14:paraId="4B3AFC7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一旦发生泄漏，首先要疏散无关人员，隔离泄漏污染区，应参照安全技术说明书及物品的安全信息采取控制措施</w:t>
            </w:r>
            <w:r>
              <w:rPr>
                <w:rFonts w:hint="eastAsia" w:ascii="宋体" w:hAnsi="宋体" w:cs="宋体"/>
                <w:sz w:val="24"/>
                <w:szCs w:val="24"/>
                <w:lang w:eastAsia="zh-CN"/>
              </w:rPr>
              <w:t>；</w:t>
            </w:r>
            <w:r>
              <w:rPr>
                <w:rFonts w:hint="eastAsia" w:ascii="宋体" w:hAnsi="宋体" w:eastAsia="宋体" w:cs="宋体"/>
                <w:sz w:val="24"/>
                <w:szCs w:val="24"/>
              </w:rPr>
              <w:t>参加泄漏处理人员应对泄漏品的化学性质和反应特征有充分的了解，选择适当的防护用品，要位于高处和上风处进行处理</w:t>
            </w:r>
            <w:r>
              <w:rPr>
                <w:rFonts w:hint="eastAsia" w:ascii="宋体" w:hAnsi="宋体" w:cs="宋体"/>
                <w:sz w:val="24"/>
                <w:szCs w:val="24"/>
                <w:lang w:eastAsia="zh-CN"/>
              </w:rPr>
              <w:t>，</w:t>
            </w:r>
            <w:r>
              <w:rPr>
                <w:rFonts w:hint="eastAsia" w:ascii="宋体" w:hAnsi="宋体" w:eastAsia="宋体" w:cs="宋体"/>
                <w:sz w:val="24"/>
                <w:szCs w:val="24"/>
              </w:rPr>
              <w:t>要有监护人</w:t>
            </w:r>
            <w:r>
              <w:rPr>
                <w:rFonts w:hint="eastAsia" w:ascii="宋体" w:hAnsi="宋体" w:cs="宋体"/>
                <w:sz w:val="24"/>
                <w:szCs w:val="24"/>
                <w:lang w:eastAsia="zh-CN"/>
              </w:rPr>
              <w:t>，</w:t>
            </w:r>
            <w:r>
              <w:rPr>
                <w:rFonts w:hint="eastAsia" w:ascii="宋体" w:hAnsi="宋体" w:eastAsia="宋体" w:cs="宋体"/>
                <w:sz w:val="24"/>
                <w:szCs w:val="24"/>
              </w:rPr>
              <w:t>严禁单独行动</w:t>
            </w:r>
            <w:r>
              <w:rPr>
                <w:rFonts w:hint="eastAsia" w:ascii="宋体" w:hAnsi="宋体" w:cs="宋体"/>
                <w:sz w:val="24"/>
                <w:szCs w:val="24"/>
                <w:lang w:eastAsia="zh-CN"/>
              </w:rPr>
              <w:t>；</w:t>
            </w:r>
            <w:r>
              <w:rPr>
                <w:rFonts w:hint="eastAsia" w:ascii="宋体" w:hAnsi="宋体" w:eastAsia="宋体" w:cs="宋体"/>
                <w:sz w:val="24"/>
                <w:szCs w:val="24"/>
              </w:rPr>
              <w:t>必要时要用水枪(雾状水)掩护。如果在生产使用过程中发生泄漏</w:t>
            </w:r>
            <w:r>
              <w:rPr>
                <w:rFonts w:hint="eastAsia" w:ascii="宋体" w:hAnsi="宋体" w:cs="宋体"/>
                <w:sz w:val="24"/>
                <w:szCs w:val="24"/>
                <w:lang w:eastAsia="zh-CN"/>
              </w:rPr>
              <w:t>，</w:t>
            </w:r>
            <w:r>
              <w:rPr>
                <w:rFonts w:hint="eastAsia" w:ascii="宋体" w:hAnsi="宋体" w:eastAsia="宋体" w:cs="宋体"/>
                <w:sz w:val="24"/>
                <w:szCs w:val="24"/>
              </w:rPr>
              <w:t>要在统一指挥下，通过关闭有关阀门、切断与之相连的设备、管线、停止作业、或改变工艺流程等方法来控制泄漏。如果是容器发生泄漏，应根据实际情况，采取措施堵塞和修补裂口，制止进一步泄漏，或转换容器(利用包装空桶闲置储缸)。</w:t>
            </w:r>
          </w:p>
          <w:p w14:paraId="52093D0A">
            <w:pPr>
              <w:adjustRightInd w:val="0"/>
              <w:snapToGrid w:val="0"/>
              <w:spacing w:line="360" w:lineRule="auto"/>
              <w:ind w:firstLine="482" w:firstLineChars="200"/>
              <w:rPr>
                <w:rFonts w:hint="default" w:ascii="宋体" w:hAnsi="宋体" w:eastAsia="宋体" w:cs="宋体"/>
                <w:sz w:val="24"/>
                <w:szCs w:val="24"/>
                <w:lang w:val="en-US" w:eastAsia="zh-CN"/>
              </w:rPr>
            </w:pPr>
            <w:r>
              <w:rPr>
                <w:rFonts w:hint="eastAsia" w:ascii="宋体" w:hAnsi="宋体" w:cs="宋体"/>
                <w:b/>
                <w:bCs/>
                <w:sz w:val="24"/>
                <w:szCs w:val="24"/>
                <w:lang w:val="en-US" w:eastAsia="zh-CN"/>
              </w:rPr>
              <w:t>（3）在运输、储存中的风险防范措施</w:t>
            </w:r>
          </w:p>
          <w:p w14:paraId="73DF6769">
            <w:pPr>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运输</w:t>
            </w:r>
            <w:r>
              <w:rPr>
                <w:rFonts w:hint="eastAsia" w:ascii="宋体" w:hAnsi="宋体" w:cs="宋体"/>
                <w:b/>
                <w:bCs/>
                <w:sz w:val="24"/>
                <w:szCs w:val="24"/>
                <w:lang w:eastAsia="zh-CN"/>
              </w:rPr>
              <w:t>：</w:t>
            </w:r>
          </w:p>
          <w:p w14:paraId="5596CF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本项目运输涉及的危险物质主要是回收的油类物质，应严格按照《危险废物收集贮存运输技术规范》等相关规定进行。</w:t>
            </w:r>
          </w:p>
          <w:p w14:paraId="71F573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①运输车辆应具有危运许可证，司机、押运员有上岗证。对于近距离使用槽车运输有毒有害物料，应选择合理的运输路线，勿在居民区和人口稠密区停留</w:t>
            </w:r>
            <w:r>
              <w:rPr>
                <w:rFonts w:hint="eastAsia" w:ascii="宋体" w:hAnsi="宋体" w:cs="宋体"/>
                <w:sz w:val="24"/>
                <w:szCs w:val="24"/>
                <w:lang w:eastAsia="zh-CN"/>
              </w:rPr>
              <w:t>；</w:t>
            </w:r>
            <w:r>
              <w:rPr>
                <w:rFonts w:hint="eastAsia" w:ascii="宋体" w:hAnsi="宋体" w:eastAsia="宋体" w:cs="宋体"/>
                <w:sz w:val="24"/>
                <w:szCs w:val="24"/>
              </w:rPr>
              <w:t>同时对槽车驾驶员进行严格的培训和资格认证。在可能发生事故的设备、材料、物品的周围和主要通道危险地段，出入口等处应装设事故照明灯。</w:t>
            </w:r>
          </w:p>
          <w:p w14:paraId="2FAB124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②运输容器由定点单位生产、经检测、检验合格后方可使用。</w:t>
            </w:r>
          </w:p>
          <w:p w14:paraId="093D1C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③运车辆后部安装告示牌，告示牌上表明化学品的名称、种类、最大载质量、施救方法、企业联系电话等。同时车上要配备必要的防毒器具和消防器材，预防事故的发生。</w:t>
            </w:r>
          </w:p>
          <w:p w14:paraId="21B1D3C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④运输车辆配备足够的堵漏、灭火等事故应急处理器材。</w:t>
            </w:r>
          </w:p>
          <w:p w14:paraId="63FD836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综上，在落实上述运输环境风险防范后，本项目危险物质的运输风险可降至最低。</w:t>
            </w:r>
          </w:p>
          <w:p w14:paraId="5D0137B2">
            <w:pPr>
              <w:adjustRightInd w:val="0"/>
              <w:snapToGrid w:val="0"/>
              <w:spacing w:line="360" w:lineRule="auto"/>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储存</w:t>
            </w:r>
            <w:r>
              <w:rPr>
                <w:rFonts w:hint="eastAsia" w:ascii="宋体" w:hAnsi="宋体" w:cs="宋体"/>
                <w:b/>
                <w:bCs/>
                <w:sz w:val="24"/>
                <w:szCs w:val="24"/>
                <w:lang w:eastAsia="zh-CN"/>
              </w:rPr>
              <w:t>：</w:t>
            </w:r>
          </w:p>
          <w:p w14:paraId="0E2BC2D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废油液类物质储存和装卸场所应符合卫生防护距离应符合要求</w:t>
            </w:r>
            <w:r>
              <w:rPr>
                <w:rFonts w:hint="eastAsia" w:ascii="宋体" w:hAnsi="宋体" w:cs="宋体"/>
                <w:sz w:val="24"/>
                <w:szCs w:val="24"/>
                <w:lang w:eastAsia="zh-CN"/>
              </w:rPr>
              <w:t>；</w:t>
            </w:r>
            <w:r>
              <w:rPr>
                <w:rFonts w:hint="eastAsia" w:ascii="宋体" w:hAnsi="宋体" w:eastAsia="宋体" w:cs="宋体"/>
                <w:sz w:val="24"/>
                <w:szCs w:val="24"/>
              </w:rPr>
              <w:t>场区内具有良好的自然通风条件</w:t>
            </w:r>
            <w:r>
              <w:rPr>
                <w:rFonts w:hint="eastAsia" w:ascii="宋体" w:hAnsi="宋体" w:cs="宋体"/>
                <w:sz w:val="24"/>
                <w:szCs w:val="24"/>
                <w:lang w:eastAsia="zh-CN"/>
              </w:rPr>
              <w:t>；</w:t>
            </w:r>
            <w:r>
              <w:rPr>
                <w:rFonts w:hint="eastAsia" w:ascii="宋体" w:hAnsi="宋体" w:eastAsia="宋体" w:cs="宋体"/>
                <w:sz w:val="24"/>
                <w:szCs w:val="24"/>
              </w:rPr>
              <w:t>功能分区内各项设施的布置应紧凑、合理</w:t>
            </w:r>
            <w:r>
              <w:rPr>
                <w:rFonts w:hint="eastAsia" w:ascii="宋体" w:hAnsi="宋体" w:cs="宋体"/>
                <w:sz w:val="24"/>
                <w:szCs w:val="24"/>
                <w:lang w:eastAsia="zh-CN"/>
              </w:rPr>
              <w:t>；</w:t>
            </w:r>
            <w:r>
              <w:rPr>
                <w:rFonts w:hint="eastAsia" w:ascii="宋体" w:hAnsi="宋体" w:eastAsia="宋体" w:cs="宋体"/>
                <w:sz w:val="24"/>
                <w:szCs w:val="24"/>
              </w:rPr>
              <w:t>功能分区内部和相互之间保持一定的通道和宽度</w:t>
            </w:r>
            <w:r>
              <w:rPr>
                <w:rFonts w:hint="eastAsia" w:ascii="宋体" w:hAnsi="宋体" w:cs="宋体"/>
                <w:sz w:val="24"/>
                <w:szCs w:val="24"/>
                <w:lang w:eastAsia="zh-CN"/>
              </w:rPr>
              <w:t>；</w:t>
            </w:r>
            <w:r>
              <w:rPr>
                <w:rFonts w:hint="eastAsia" w:ascii="宋体" w:hAnsi="宋体" w:eastAsia="宋体" w:cs="宋体"/>
                <w:sz w:val="24"/>
                <w:szCs w:val="24"/>
              </w:rPr>
              <w:t>设置相应的安全标志。</w:t>
            </w:r>
          </w:p>
          <w:p w14:paraId="4B87E42C">
            <w:pPr>
              <w:adjustRightInd w:val="0"/>
              <w:spacing w:line="360" w:lineRule="auto"/>
              <w:rPr>
                <w:rFonts w:ascii="Times New Roman" w:hAnsi="Times New Roman" w:cs="Times New Roman"/>
                <w:b/>
                <w:bCs/>
                <w:color w:val="auto"/>
                <w:kern w:val="0"/>
                <w:sz w:val="24"/>
              </w:rPr>
            </w:pPr>
            <w:r>
              <w:rPr>
                <w:rFonts w:hint="eastAsia" w:ascii="Times New Roman" w:hAnsi="Times New Roman" w:cs="Times New Roman"/>
                <w:b/>
                <w:bCs/>
                <w:color w:val="auto"/>
                <w:kern w:val="0"/>
                <w:sz w:val="24"/>
                <w:lang w:val="en-US" w:eastAsia="zh-CN"/>
              </w:rPr>
              <w:t>六</w:t>
            </w:r>
            <w:r>
              <w:rPr>
                <w:rFonts w:hint="eastAsia" w:ascii="Times New Roman" w:hAnsi="Times New Roman" w:cs="Times New Roman"/>
                <w:b/>
                <w:bCs/>
                <w:color w:val="auto"/>
                <w:kern w:val="0"/>
                <w:sz w:val="24"/>
                <w:lang w:eastAsia="zh-CN"/>
              </w:rPr>
              <w:t>、</w:t>
            </w:r>
            <w:r>
              <w:rPr>
                <w:rFonts w:ascii="Times New Roman" w:hAnsi="Times New Roman" w:cs="Times New Roman"/>
                <w:b/>
                <w:bCs/>
                <w:color w:val="auto"/>
                <w:kern w:val="0"/>
                <w:sz w:val="24"/>
              </w:rPr>
              <w:t>环境管理</w:t>
            </w:r>
          </w:p>
          <w:p w14:paraId="1BB9B3AC">
            <w:pPr>
              <w:autoSpaceDE w:val="0"/>
              <w:autoSpaceDN w:val="0"/>
              <w:adjustRightInd w:val="0"/>
              <w:spacing w:line="360" w:lineRule="auto"/>
              <w:ind w:firstLine="480" w:firstLineChars="200"/>
              <w:rPr>
                <w:rFonts w:ascii="宋体" w:hAnsi="宋体" w:eastAsia="宋体" w:cs="宋体"/>
                <w:sz w:val="24"/>
                <w:szCs w:val="24"/>
              </w:rPr>
            </w:pPr>
            <w:r>
              <w:rPr>
                <w:rFonts w:ascii="宋体" w:hAnsi="宋体" w:eastAsia="宋体" w:cs="宋体"/>
                <w:sz w:val="24"/>
                <w:szCs w:val="24"/>
              </w:rPr>
              <w:t>为了便于运营期企业环保管理，本次工程完成后，要求建设单位完善企业环境管理制度。环境管理体系可分为管理机构与监督机构。</w:t>
            </w:r>
          </w:p>
          <w:p w14:paraId="03F5A8AF">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目前公司已经组织设立环境保护机构（由办公室兼任），环境管理贯彻到生产建设的全过程，纳入公司发展计划，在企业建立、健全环保岗位，实行主要领导负责制，其主要职责是：</w:t>
            </w:r>
          </w:p>
          <w:p w14:paraId="7C069521">
            <w:pPr>
              <w:autoSpaceDE w:val="0"/>
              <w:autoSpaceDN w:val="0"/>
              <w:adjustRightInd w:val="0"/>
              <w:spacing w:line="360" w:lineRule="auto"/>
              <w:ind w:firstLine="480" w:firstLineChars="200"/>
              <w:rPr>
                <w:rFonts w:ascii="宋体" w:hAnsi="宋体" w:eastAsia="宋体" w:cs="宋体"/>
                <w:sz w:val="24"/>
                <w:szCs w:val="24"/>
              </w:rPr>
            </w:pPr>
            <w:r>
              <w:rPr>
                <w:rFonts w:ascii="宋体" w:hAnsi="宋体" w:eastAsia="宋体" w:cs="宋体"/>
                <w:sz w:val="24"/>
                <w:szCs w:val="24"/>
              </w:rPr>
              <w:t>①贯彻执行国家和地方各项环保方针、政策和法规，制定全厂环境保护制度和细则；</w:t>
            </w:r>
          </w:p>
          <w:p w14:paraId="730D820A">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②在生产运行阶段，定期检查各生产设备的运行状况，减少“跑、冒、滴、漏”现象的发生，保证生产的正常运行；定期检测各治污设备的运行状况，如：废气处理系统等，并建立各治污设备的运行档案，确保各污染处理设施的正常运行，杜绝污染事故的发生；</w:t>
            </w:r>
          </w:p>
          <w:p w14:paraId="56829494">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③具体制定生产运行阶段各污染治理设施的处理工艺技术规范和操作规程，建立各污染源监测制度，按环境监测部门的要求，按规定委托第三方有资质单位定期对各污染源排放点进行监测，保证处理效果达到设计要求，各污染源达标排放；</w:t>
            </w:r>
          </w:p>
          <w:p w14:paraId="5F2EFE7D">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④加强宣传教育，不断提高各级管理者和公司职工对环境保护的认识水平，定期培训环境管理人员，做到分工明确、责任清晰；</w:t>
            </w:r>
          </w:p>
          <w:p w14:paraId="6DE58A4A">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⑤原辅材料储存方式为置于阴凉处暂存，并且远离火源，同时做好危废暂存和管理工作；</w:t>
            </w:r>
          </w:p>
          <w:p w14:paraId="43DE52ED">
            <w:pPr>
              <w:autoSpaceDE w:val="0"/>
              <w:autoSpaceDN w:val="0"/>
              <w:adjustRightInd w:val="0"/>
              <w:spacing w:line="360" w:lineRule="auto"/>
              <w:ind w:firstLine="480" w:firstLineChars="200"/>
              <w:rPr>
                <w:rFonts w:hint="eastAsia" w:ascii="宋体" w:hAnsi="宋体" w:eastAsia="宋体" w:cs="宋体"/>
                <w:sz w:val="24"/>
                <w:szCs w:val="24"/>
                <w:lang w:eastAsia="zh-CN"/>
              </w:rPr>
            </w:pPr>
            <w:r>
              <w:rPr>
                <w:rFonts w:ascii="宋体" w:hAnsi="宋体" w:eastAsia="宋体" w:cs="宋体"/>
                <w:sz w:val="24"/>
                <w:szCs w:val="24"/>
              </w:rPr>
              <w:t>⑥建立环保台账管理制度，明确环保负责人，确保有机废气处置设施的正常运行，台账至少保留五年；</w:t>
            </w:r>
          </w:p>
          <w:p w14:paraId="414E703A">
            <w:pPr>
              <w:autoSpaceDE w:val="0"/>
              <w:autoSpaceDN w:val="0"/>
              <w:adjustRightInd w:val="0"/>
              <w:spacing w:line="360" w:lineRule="auto"/>
              <w:ind w:firstLine="480" w:firstLineChars="200"/>
              <w:rPr>
                <w:rFonts w:ascii="宋体" w:hAnsi="宋体" w:eastAsia="宋体" w:cs="宋体"/>
                <w:sz w:val="24"/>
                <w:szCs w:val="24"/>
              </w:rPr>
            </w:pPr>
            <w:r>
              <w:rPr>
                <w:rFonts w:ascii="宋体" w:hAnsi="宋体" w:eastAsia="宋体" w:cs="宋体"/>
                <w:sz w:val="24"/>
                <w:szCs w:val="24"/>
              </w:rPr>
              <w:t xml:space="preserve">⑦加强车间无组织废气的控制措施，尽可能减少无组织废气的产生，如加强车间通风、定期拖洗车间地面降尘等，工作人员佩戴口罩、定期体检等措施。 </w:t>
            </w:r>
          </w:p>
          <w:p w14:paraId="3B0D6D09">
            <w:pPr>
              <w:autoSpaceDE w:val="0"/>
              <w:autoSpaceDN w:val="0"/>
              <w:adjustRightInd w:val="0"/>
              <w:spacing w:line="360" w:lineRule="auto"/>
              <w:ind w:firstLine="480" w:firstLineChars="200"/>
              <w:rPr>
                <w:rFonts w:ascii="宋体" w:hAnsi="宋体" w:eastAsia="宋体" w:cs="宋体"/>
                <w:sz w:val="24"/>
                <w:szCs w:val="24"/>
              </w:rPr>
            </w:pPr>
            <w:r>
              <w:rPr>
                <w:rFonts w:ascii="宋体" w:hAnsi="宋体" w:eastAsia="宋体" w:cs="宋体"/>
                <w:sz w:val="24"/>
                <w:szCs w:val="24"/>
                <w:highlight w:val="none"/>
              </w:rPr>
              <w:t>⑧针对厂区</w:t>
            </w:r>
            <w:r>
              <w:rPr>
                <w:rFonts w:ascii="宋体" w:hAnsi="宋体" w:eastAsia="宋体" w:cs="宋体"/>
                <w:sz w:val="24"/>
                <w:szCs w:val="24"/>
              </w:rPr>
              <w:t>危险废物的转移、一般工业固废外售处置等，均应设立管理台账。</w:t>
            </w:r>
          </w:p>
          <w:p w14:paraId="27FFC5B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b/>
                <w:bCs/>
                <w:color w:val="auto"/>
                <w:kern w:val="0"/>
                <w:sz w:val="24"/>
              </w:rPr>
            </w:pPr>
            <w:bookmarkStart w:id="2" w:name="_Hlk123207857"/>
            <w:r>
              <w:rPr>
                <w:rFonts w:hint="eastAsia" w:ascii="Times New Roman" w:hAnsi="Times New Roman" w:eastAsia="宋体" w:cs="Times New Roman"/>
                <w:b/>
                <w:bCs/>
                <w:color w:val="auto"/>
                <w:kern w:val="0"/>
                <w:sz w:val="24"/>
                <w:lang w:val="en-US" w:eastAsia="zh-CN"/>
              </w:rPr>
              <w:t>七、</w:t>
            </w:r>
            <w:r>
              <w:rPr>
                <w:rFonts w:ascii="Times New Roman" w:hAnsi="Times New Roman" w:eastAsia="宋体" w:cs="Times New Roman"/>
                <w:b/>
                <w:bCs/>
                <w:color w:val="auto"/>
                <w:kern w:val="0"/>
                <w:sz w:val="24"/>
              </w:rPr>
              <w:t>环</w:t>
            </w:r>
            <w:r>
              <w:rPr>
                <w:b/>
                <w:bCs/>
                <w:color w:val="auto"/>
                <w:kern w:val="0"/>
                <w:sz w:val="24"/>
              </w:rPr>
              <w:t>保投资</w:t>
            </w:r>
          </w:p>
          <w:p w14:paraId="3FAFD97F">
            <w:pPr>
              <w:spacing w:line="360" w:lineRule="auto"/>
              <w:ind w:firstLine="480" w:firstLineChars="200"/>
              <w:rPr>
                <w:color w:val="auto"/>
                <w:sz w:val="24"/>
              </w:rPr>
            </w:pPr>
            <w:bookmarkStart w:id="3" w:name="_Hlk146622206"/>
            <w:r>
              <w:rPr>
                <w:color w:val="auto"/>
                <w:sz w:val="24"/>
              </w:rPr>
              <w:t>本项目总投资为</w:t>
            </w:r>
            <w:r>
              <w:rPr>
                <w:rFonts w:hint="eastAsia"/>
                <w:color w:val="auto"/>
                <w:sz w:val="24"/>
                <w:lang w:val="en-US" w:eastAsia="zh-CN"/>
              </w:rPr>
              <w:t>1000</w:t>
            </w:r>
            <w:r>
              <w:rPr>
                <w:color w:val="auto"/>
                <w:sz w:val="24"/>
              </w:rPr>
              <w:t>万元，其中环保投资为</w:t>
            </w:r>
            <w:r>
              <w:rPr>
                <w:rFonts w:hint="eastAsia"/>
                <w:color w:val="auto"/>
                <w:sz w:val="24"/>
                <w:lang w:val="en-US" w:eastAsia="zh-CN"/>
              </w:rPr>
              <w:t>77</w:t>
            </w:r>
            <w:r>
              <w:rPr>
                <w:color w:val="auto"/>
                <w:sz w:val="24"/>
              </w:rPr>
              <w:t>万元，占总投资的</w:t>
            </w:r>
            <w:r>
              <w:rPr>
                <w:rFonts w:hint="eastAsia"/>
                <w:color w:val="auto"/>
                <w:sz w:val="24"/>
                <w:lang w:val="en-US" w:eastAsia="zh-CN"/>
              </w:rPr>
              <w:t>7.7</w:t>
            </w:r>
            <w:r>
              <w:rPr>
                <w:color w:val="auto"/>
                <w:sz w:val="24"/>
              </w:rPr>
              <w:t>%，项目环保投资估算表见表4-</w:t>
            </w:r>
            <w:r>
              <w:rPr>
                <w:rFonts w:hint="eastAsia"/>
                <w:color w:val="auto"/>
                <w:sz w:val="24"/>
                <w:lang w:val="en-US" w:eastAsia="zh-CN"/>
              </w:rPr>
              <w:t>18</w:t>
            </w:r>
            <w:r>
              <w:rPr>
                <w:color w:val="auto"/>
                <w:sz w:val="24"/>
              </w:rPr>
              <w:t>。</w:t>
            </w:r>
          </w:p>
          <w:p w14:paraId="678A9AFC">
            <w:pPr>
              <w:spacing w:line="360" w:lineRule="auto"/>
              <w:jc w:val="both"/>
              <w:rPr>
                <w:b/>
                <w:color w:val="auto"/>
                <w:sz w:val="24"/>
              </w:rPr>
            </w:pPr>
            <w:r>
              <w:rPr>
                <w:b/>
                <w:color w:val="auto"/>
                <w:sz w:val="24"/>
              </w:rPr>
              <w:t>表4-</w:t>
            </w:r>
            <w:r>
              <w:rPr>
                <w:rFonts w:hint="eastAsia"/>
                <w:b/>
                <w:color w:val="auto"/>
                <w:sz w:val="24"/>
                <w:lang w:val="en-US" w:eastAsia="zh-CN"/>
              </w:rPr>
              <w:t>18</w:t>
            </w:r>
            <w:r>
              <w:rPr>
                <w:b/>
                <w:color w:val="auto"/>
                <w:sz w:val="24"/>
              </w:rPr>
              <w:t xml:space="preserve">    </w:t>
            </w:r>
            <w:r>
              <w:rPr>
                <w:rFonts w:hint="eastAsia"/>
                <w:b/>
                <w:color w:val="auto"/>
                <w:sz w:val="24"/>
                <w:lang w:val="en-US" w:eastAsia="zh-CN"/>
              </w:rPr>
              <w:t xml:space="preserve">               </w:t>
            </w:r>
            <w:r>
              <w:rPr>
                <w:b/>
                <w:color w:val="auto"/>
                <w:sz w:val="24"/>
              </w:rPr>
              <w:t xml:space="preserve">项目环保投资估算表     </w:t>
            </w:r>
            <w:r>
              <w:rPr>
                <w:rFonts w:hint="eastAsia"/>
                <w:b/>
                <w:color w:val="auto"/>
                <w:sz w:val="24"/>
                <w:lang w:val="en-US" w:eastAsia="zh-CN"/>
              </w:rPr>
              <w:t xml:space="preserve">        </w:t>
            </w:r>
            <w:r>
              <w:rPr>
                <w:b/>
                <w:color w:val="auto"/>
                <w:sz w:val="24"/>
              </w:rPr>
              <w:t>单位：万元</w:t>
            </w:r>
          </w:p>
          <w:bookmarkEnd w:id="2"/>
          <w:bookmarkEnd w:id="3"/>
          <w:tbl>
            <w:tblPr>
              <w:tblStyle w:val="29"/>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500"/>
              <w:gridCol w:w="1650"/>
              <w:gridCol w:w="2758"/>
              <w:gridCol w:w="1738"/>
            </w:tblGrid>
            <w:tr w14:paraId="1850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Align w:val="center"/>
                </w:tcPr>
                <w:p w14:paraId="44E78648">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类别</w:t>
                  </w:r>
                </w:p>
              </w:tc>
              <w:tc>
                <w:tcPr>
                  <w:tcW w:w="1500" w:type="dxa"/>
                  <w:vAlign w:val="center"/>
                </w:tcPr>
                <w:p w14:paraId="2B467CE2">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治理项目</w:t>
                  </w:r>
                </w:p>
              </w:tc>
              <w:tc>
                <w:tcPr>
                  <w:tcW w:w="1650" w:type="dxa"/>
                  <w:vAlign w:val="center"/>
                </w:tcPr>
                <w:p w14:paraId="1FD0867E">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污染因子</w:t>
                  </w:r>
                </w:p>
              </w:tc>
              <w:tc>
                <w:tcPr>
                  <w:tcW w:w="2758" w:type="dxa"/>
                  <w:vAlign w:val="center"/>
                </w:tcPr>
                <w:p w14:paraId="5FEA8858">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环保设施</w:t>
                  </w:r>
                </w:p>
              </w:tc>
              <w:tc>
                <w:tcPr>
                  <w:tcW w:w="1738" w:type="dxa"/>
                  <w:vAlign w:val="center"/>
                </w:tcPr>
                <w:p w14:paraId="5D7C5187">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投资估算</w:t>
                  </w:r>
                </w:p>
              </w:tc>
            </w:tr>
            <w:tr w14:paraId="028C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Align w:val="center"/>
                </w:tcPr>
                <w:p w14:paraId="05EEA480">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废水</w:t>
                  </w:r>
                </w:p>
              </w:tc>
              <w:tc>
                <w:tcPr>
                  <w:tcW w:w="1500" w:type="dxa"/>
                  <w:vAlign w:val="center"/>
                </w:tcPr>
                <w:p w14:paraId="45338365">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生产废水</w:t>
                  </w:r>
                </w:p>
              </w:tc>
              <w:tc>
                <w:tcPr>
                  <w:tcW w:w="1650" w:type="dxa"/>
                  <w:vAlign w:val="center"/>
                </w:tcPr>
                <w:p w14:paraId="4ABC8AF5">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COD</w:t>
                  </w:r>
                  <w:r>
                    <w:rPr>
                      <w:rFonts w:hint="eastAsia" w:ascii="Times New Roman" w:hAnsi="Times New Roman"/>
                      <w:color w:val="auto"/>
                      <w:szCs w:val="21"/>
                      <w:vertAlign w:val="subscript"/>
                      <w:lang w:val="en-US" w:eastAsia="zh-CN"/>
                    </w:rPr>
                    <w:t>Cr</w:t>
                  </w:r>
                  <w:r>
                    <w:rPr>
                      <w:rFonts w:hint="eastAsia" w:ascii="Times New Roman" w:hAnsi="Times New Roman"/>
                      <w:color w:val="auto"/>
                      <w:szCs w:val="21"/>
                      <w:lang w:val="en-US" w:eastAsia="zh-CN"/>
                    </w:rPr>
                    <w:t>、SS和石油类</w:t>
                  </w:r>
                </w:p>
              </w:tc>
              <w:tc>
                <w:tcPr>
                  <w:tcW w:w="2758" w:type="dxa"/>
                  <w:vAlign w:val="center"/>
                </w:tcPr>
                <w:p w14:paraId="5C9593B9">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油水分离器</w:t>
                  </w:r>
                </w:p>
              </w:tc>
              <w:tc>
                <w:tcPr>
                  <w:tcW w:w="1738" w:type="dxa"/>
                  <w:vAlign w:val="center"/>
                </w:tcPr>
                <w:p w14:paraId="19EB3D41">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5</w:t>
                  </w:r>
                </w:p>
              </w:tc>
            </w:tr>
            <w:tr w14:paraId="1A8F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restart"/>
                  <w:vAlign w:val="center"/>
                </w:tcPr>
                <w:p w14:paraId="6DC40A8A">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废气</w:t>
                  </w:r>
                </w:p>
              </w:tc>
              <w:tc>
                <w:tcPr>
                  <w:tcW w:w="1500" w:type="dxa"/>
                  <w:vMerge w:val="restart"/>
                  <w:vAlign w:val="center"/>
                </w:tcPr>
                <w:p w14:paraId="1EA7F9B8">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拆解车间</w:t>
                  </w:r>
                </w:p>
              </w:tc>
              <w:tc>
                <w:tcPr>
                  <w:tcW w:w="1650" w:type="dxa"/>
                  <w:vAlign w:val="center"/>
                </w:tcPr>
                <w:p w14:paraId="06539BF1">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非甲烷总烃</w:t>
                  </w:r>
                </w:p>
              </w:tc>
              <w:tc>
                <w:tcPr>
                  <w:tcW w:w="2758" w:type="dxa"/>
                  <w:vAlign w:val="center"/>
                </w:tcPr>
                <w:p w14:paraId="7FFCD73E">
                  <w:pPr>
                    <w:pStyle w:val="67"/>
                    <w:numPr>
                      <w:ilvl w:val="0"/>
                      <w:numId w:val="0"/>
                    </w:numPr>
                    <w:jc w:val="center"/>
                    <w:rPr>
                      <w:rFonts w:hint="default" w:ascii="Times New Roman" w:hAnsi="Times New Roman"/>
                      <w:color w:val="auto"/>
                      <w:szCs w:val="21"/>
                      <w:lang w:val="en-US" w:eastAsia="zh-CN"/>
                    </w:rPr>
                  </w:pPr>
                  <w:r>
                    <w:rPr>
                      <w:rFonts w:hint="default" w:ascii="Times New Roman" w:hAnsi="Times New Roman"/>
                      <w:color w:val="auto"/>
                      <w:szCs w:val="21"/>
                      <w:lang w:val="en-US" w:eastAsia="zh-CN"/>
                    </w:rPr>
                    <w:t>密闭废油抽取机、非甲烷总陉收集装置+</w:t>
                  </w:r>
                  <w:r>
                    <w:rPr>
                      <w:rFonts w:hint="eastAsia" w:ascii="Times New Roman" w:hAnsi="Times New Roman"/>
                      <w:color w:val="auto"/>
                      <w:szCs w:val="21"/>
                      <w:lang w:val="en-US" w:eastAsia="zh-CN"/>
                    </w:rPr>
                    <w:t>二级</w:t>
                  </w:r>
                  <w:r>
                    <w:rPr>
                      <w:rFonts w:hint="default" w:ascii="Times New Roman" w:hAnsi="Times New Roman"/>
                      <w:color w:val="auto"/>
                      <w:szCs w:val="21"/>
                      <w:lang w:val="en-US" w:eastAsia="zh-CN"/>
                    </w:rPr>
                    <w:t>活性炭吸附+15m排气筒</w:t>
                  </w:r>
                </w:p>
              </w:tc>
              <w:tc>
                <w:tcPr>
                  <w:tcW w:w="1738" w:type="dxa"/>
                  <w:vAlign w:val="center"/>
                </w:tcPr>
                <w:p w14:paraId="5AB1AF33">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w:t>
                  </w:r>
                </w:p>
              </w:tc>
            </w:tr>
            <w:tr w14:paraId="3E0D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continue"/>
                  <w:vAlign w:val="center"/>
                </w:tcPr>
                <w:p w14:paraId="54034077">
                  <w:pPr>
                    <w:pStyle w:val="67"/>
                    <w:numPr>
                      <w:ilvl w:val="0"/>
                      <w:numId w:val="0"/>
                    </w:numPr>
                    <w:jc w:val="center"/>
                    <w:rPr>
                      <w:rFonts w:hint="default" w:ascii="Times New Roman" w:hAnsi="Times New Roman"/>
                      <w:color w:val="auto"/>
                      <w:szCs w:val="21"/>
                      <w:lang w:val="en-US" w:eastAsia="zh-CN"/>
                    </w:rPr>
                  </w:pPr>
                </w:p>
              </w:tc>
              <w:tc>
                <w:tcPr>
                  <w:tcW w:w="1500" w:type="dxa"/>
                  <w:vMerge w:val="continue"/>
                  <w:vAlign w:val="center"/>
                </w:tcPr>
                <w:p w14:paraId="5E077B26">
                  <w:pPr>
                    <w:pStyle w:val="67"/>
                    <w:numPr>
                      <w:ilvl w:val="0"/>
                      <w:numId w:val="0"/>
                    </w:numPr>
                    <w:jc w:val="center"/>
                    <w:rPr>
                      <w:rFonts w:hint="default" w:ascii="Times New Roman" w:hAnsi="Times New Roman"/>
                      <w:color w:val="auto"/>
                      <w:szCs w:val="21"/>
                      <w:lang w:val="en-US" w:eastAsia="zh-CN"/>
                    </w:rPr>
                  </w:pPr>
                </w:p>
              </w:tc>
              <w:tc>
                <w:tcPr>
                  <w:tcW w:w="1650" w:type="dxa"/>
                  <w:vAlign w:val="center"/>
                </w:tcPr>
                <w:p w14:paraId="67D52E71">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颗粒物</w:t>
                  </w:r>
                </w:p>
              </w:tc>
              <w:tc>
                <w:tcPr>
                  <w:tcW w:w="2758" w:type="dxa"/>
                  <w:vAlign w:val="center"/>
                </w:tcPr>
                <w:p w14:paraId="12C6165F">
                  <w:pPr>
                    <w:pStyle w:val="67"/>
                    <w:numPr>
                      <w:ilvl w:val="0"/>
                      <w:numId w:val="0"/>
                    </w:numPr>
                    <w:jc w:val="center"/>
                    <w:rPr>
                      <w:rFonts w:hint="default" w:ascii="Times New Roman" w:hAnsi="Times New Roman"/>
                      <w:color w:val="auto"/>
                      <w:szCs w:val="21"/>
                      <w:lang w:val="en-US" w:eastAsia="zh-CN"/>
                    </w:rPr>
                  </w:pPr>
                  <w:r>
                    <w:rPr>
                      <w:rFonts w:hint="default" w:ascii="Times New Roman" w:hAnsi="Times New Roman"/>
                      <w:color w:val="auto"/>
                      <w:szCs w:val="21"/>
                      <w:lang w:val="en-US" w:eastAsia="zh-CN"/>
                    </w:rPr>
                    <w:t>集气罩+布袋除尘器+15m排气筒</w:t>
                  </w:r>
                </w:p>
              </w:tc>
              <w:tc>
                <w:tcPr>
                  <w:tcW w:w="1738" w:type="dxa"/>
                  <w:vAlign w:val="center"/>
                </w:tcPr>
                <w:p w14:paraId="16B2AF2B">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w:t>
                  </w:r>
                </w:p>
              </w:tc>
            </w:tr>
            <w:tr w14:paraId="2DB5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continue"/>
                  <w:vAlign w:val="center"/>
                </w:tcPr>
                <w:p w14:paraId="6CA2897C">
                  <w:pPr>
                    <w:pStyle w:val="67"/>
                    <w:numPr>
                      <w:ilvl w:val="0"/>
                      <w:numId w:val="0"/>
                    </w:numPr>
                    <w:jc w:val="center"/>
                    <w:rPr>
                      <w:rFonts w:hint="default" w:ascii="Times New Roman" w:hAnsi="Times New Roman"/>
                      <w:color w:val="auto"/>
                      <w:szCs w:val="21"/>
                      <w:lang w:val="en-US" w:eastAsia="zh-CN"/>
                    </w:rPr>
                  </w:pPr>
                </w:p>
              </w:tc>
              <w:tc>
                <w:tcPr>
                  <w:tcW w:w="1500" w:type="dxa"/>
                  <w:vAlign w:val="center"/>
                </w:tcPr>
                <w:p w14:paraId="2944035F">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危废暂存间</w:t>
                  </w:r>
                </w:p>
              </w:tc>
              <w:tc>
                <w:tcPr>
                  <w:tcW w:w="1650" w:type="dxa"/>
                  <w:vAlign w:val="center"/>
                </w:tcPr>
                <w:p w14:paraId="71BC3679">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非甲烷总烃</w:t>
                  </w:r>
                </w:p>
              </w:tc>
              <w:tc>
                <w:tcPr>
                  <w:tcW w:w="2758" w:type="dxa"/>
                  <w:vAlign w:val="center"/>
                </w:tcPr>
                <w:p w14:paraId="7455B7B6">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集气罩</w:t>
                  </w:r>
                  <w:r>
                    <w:rPr>
                      <w:rFonts w:hint="default" w:ascii="Times New Roman" w:hAnsi="Times New Roman"/>
                      <w:color w:val="auto"/>
                      <w:szCs w:val="21"/>
                      <w:lang w:val="en-US" w:eastAsia="zh-CN"/>
                    </w:rPr>
                    <w:t>+</w:t>
                  </w:r>
                  <w:r>
                    <w:rPr>
                      <w:rFonts w:hint="eastAsia" w:ascii="Times New Roman" w:hAnsi="Times New Roman"/>
                      <w:color w:val="auto"/>
                      <w:szCs w:val="21"/>
                      <w:lang w:val="en-US" w:eastAsia="zh-CN"/>
                    </w:rPr>
                    <w:t>二级</w:t>
                  </w:r>
                  <w:r>
                    <w:rPr>
                      <w:rFonts w:hint="default" w:ascii="Times New Roman" w:hAnsi="Times New Roman"/>
                      <w:color w:val="auto"/>
                      <w:szCs w:val="21"/>
                      <w:lang w:val="en-US" w:eastAsia="zh-CN"/>
                    </w:rPr>
                    <w:t>活性炭吸附</w:t>
                  </w:r>
                </w:p>
              </w:tc>
              <w:tc>
                <w:tcPr>
                  <w:tcW w:w="1738" w:type="dxa"/>
                  <w:vAlign w:val="center"/>
                </w:tcPr>
                <w:p w14:paraId="7C57FBB4">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8</w:t>
                  </w:r>
                </w:p>
              </w:tc>
            </w:tr>
            <w:tr w14:paraId="3B75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continue"/>
                  <w:vAlign w:val="center"/>
                </w:tcPr>
                <w:p w14:paraId="49548DCD">
                  <w:pPr>
                    <w:pStyle w:val="67"/>
                    <w:numPr>
                      <w:ilvl w:val="0"/>
                      <w:numId w:val="0"/>
                    </w:numPr>
                    <w:jc w:val="center"/>
                    <w:rPr>
                      <w:rFonts w:hint="default" w:ascii="Times New Roman" w:hAnsi="Times New Roman"/>
                      <w:color w:val="auto"/>
                      <w:szCs w:val="21"/>
                      <w:lang w:val="en-US" w:eastAsia="zh-CN"/>
                    </w:rPr>
                  </w:pPr>
                </w:p>
              </w:tc>
              <w:tc>
                <w:tcPr>
                  <w:tcW w:w="1500" w:type="dxa"/>
                  <w:vAlign w:val="center"/>
                </w:tcPr>
                <w:p w14:paraId="13170599">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厂区</w:t>
                  </w:r>
                </w:p>
              </w:tc>
              <w:tc>
                <w:tcPr>
                  <w:tcW w:w="1650" w:type="dxa"/>
                  <w:vAlign w:val="center"/>
                </w:tcPr>
                <w:p w14:paraId="0F08261C">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颗粒物</w:t>
                  </w:r>
                </w:p>
              </w:tc>
              <w:tc>
                <w:tcPr>
                  <w:tcW w:w="2758" w:type="dxa"/>
                  <w:vAlign w:val="center"/>
                </w:tcPr>
                <w:p w14:paraId="269A1AFE">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硬化</w:t>
                  </w:r>
                </w:p>
              </w:tc>
              <w:tc>
                <w:tcPr>
                  <w:tcW w:w="1738" w:type="dxa"/>
                  <w:vAlign w:val="center"/>
                </w:tcPr>
                <w:p w14:paraId="30E7F661">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20</w:t>
                  </w:r>
                </w:p>
              </w:tc>
            </w:tr>
            <w:tr w14:paraId="4DF7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Align w:val="center"/>
                </w:tcPr>
                <w:p w14:paraId="4CB5A1CA">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噪声</w:t>
                  </w:r>
                </w:p>
              </w:tc>
              <w:tc>
                <w:tcPr>
                  <w:tcW w:w="1500" w:type="dxa"/>
                  <w:vAlign w:val="center"/>
                </w:tcPr>
                <w:p w14:paraId="7F4CB33E">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厂房</w:t>
                  </w:r>
                </w:p>
              </w:tc>
              <w:tc>
                <w:tcPr>
                  <w:tcW w:w="1650" w:type="dxa"/>
                  <w:vAlign w:val="center"/>
                </w:tcPr>
                <w:p w14:paraId="42B50905">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机械噪声</w:t>
                  </w:r>
                </w:p>
              </w:tc>
              <w:tc>
                <w:tcPr>
                  <w:tcW w:w="2758" w:type="dxa"/>
                  <w:vAlign w:val="center"/>
                </w:tcPr>
                <w:p w14:paraId="3B2BB5BE">
                  <w:pPr>
                    <w:pStyle w:val="67"/>
                    <w:numPr>
                      <w:ilvl w:val="0"/>
                      <w:numId w:val="0"/>
                    </w:num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选用具有减震、降噪、隔声、消声设计的设备</w:t>
                  </w:r>
                </w:p>
              </w:tc>
              <w:tc>
                <w:tcPr>
                  <w:tcW w:w="1738" w:type="dxa"/>
                  <w:vAlign w:val="center"/>
                </w:tcPr>
                <w:p w14:paraId="351A8720">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5</w:t>
                  </w:r>
                </w:p>
              </w:tc>
            </w:tr>
            <w:tr w14:paraId="779E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restart"/>
                  <w:vAlign w:val="center"/>
                </w:tcPr>
                <w:p w14:paraId="2AA79794">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固废</w:t>
                  </w:r>
                </w:p>
              </w:tc>
              <w:tc>
                <w:tcPr>
                  <w:tcW w:w="1500" w:type="dxa"/>
                  <w:vAlign w:val="center"/>
                </w:tcPr>
                <w:p w14:paraId="5816C98A">
                  <w:pPr>
                    <w:pStyle w:val="67"/>
                    <w:numPr>
                      <w:ilvl w:val="0"/>
                      <w:numId w:val="0"/>
                    </w:numPr>
                    <w:jc w:val="center"/>
                    <w:rPr>
                      <w:rFonts w:hint="default" w:ascii="Times New Roman" w:hAnsi="Times New Roman" w:eastAsia="宋体"/>
                      <w:color w:val="auto"/>
                      <w:szCs w:val="21"/>
                      <w:lang w:val="en-US" w:eastAsia="zh-CN"/>
                    </w:rPr>
                  </w:pPr>
                  <w:r>
                    <w:rPr>
                      <w:rFonts w:hint="eastAsia"/>
                      <w:lang w:val="en-US" w:eastAsia="zh-CN"/>
                    </w:rPr>
                    <w:t>一般生产固废</w:t>
                  </w:r>
                </w:p>
              </w:tc>
              <w:tc>
                <w:tcPr>
                  <w:tcW w:w="1650" w:type="dxa"/>
                  <w:vAlign w:val="center"/>
                </w:tcPr>
                <w:p w14:paraId="19601C57">
                  <w:pPr>
                    <w:pStyle w:val="67"/>
                    <w:numPr>
                      <w:ilvl w:val="0"/>
                      <w:numId w:val="0"/>
                    </w:numPr>
                    <w:jc w:val="center"/>
                    <w:rPr>
                      <w:rFonts w:hint="eastAsia" w:ascii="Times New Roman" w:hAnsi="Times New Roman"/>
                      <w:color w:val="auto"/>
                      <w:szCs w:val="21"/>
                      <w:lang w:val="en-US" w:eastAsia="zh-CN"/>
                    </w:rPr>
                  </w:pPr>
                  <w:r>
                    <w:rPr>
                      <w:rFonts w:hint="eastAsia"/>
                      <w:lang w:val="en-US" w:eastAsia="zh-CN"/>
                    </w:rPr>
                    <w:t>一般生产固废</w:t>
                  </w:r>
                </w:p>
              </w:tc>
              <w:tc>
                <w:tcPr>
                  <w:tcW w:w="2758" w:type="dxa"/>
                  <w:vAlign w:val="center"/>
                </w:tcPr>
                <w:p w14:paraId="3A450D69">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一般生产固废暂存间，并进行防渗处理</w:t>
                  </w:r>
                </w:p>
              </w:tc>
              <w:tc>
                <w:tcPr>
                  <w:tcW w:w="1738" w:type="dxa"/>
                  <w:vAlign w:val="center"/>
                </w:tcPr>
                <w:p w14:paraId="21B99B18">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8</w:t>
                  </w:r>
                </w:p>
              </w:tc>
            </w:tr>
            <w:tr w14:paraId="1F23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continue"/>
                  <w:vAlign w:val="center"/>
                </w:tcPr>
                <w:p w14:paraId="4E2CAF32">
                  <w:pPr>
                    <w:pStyle w:val="67"/>
                    <w:numPr>
                      <w:ilvl w:val="0"/>
                      <w:numId w:val="0"/>
                    </w:numPr>
                    <w:jc w:val="center"/>
                    <w:rPr>
                      <w:rFonts w:hint="default" w:ascii="Times New Roman" w:hAnsi="Times New Roman"/>
                      <w:color w:val="auto"/>
                      <w:szCs w:val="21"/>
                      <w:lang w:val="en-US" w:eastAsia="zh-CN"/>
                    </w:rPr>
                  </w:pPr>
                </w:p>
              </w:tc>
              <w:tc>
                <w:tcPr>
                  <w:tcW w:w="1500" w:type="dxa"/>
                  <w:vAlign w:val="center"/>
                </w:tcPr>
                <w:p w14:paraId="6BA07962">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危险废物</w:t>
                  </w:r>
                </w:p>
              </w:tc>
              <w:tc>
                <w:tcPr>
                  <w:tcW w:w="1650" w:type="dxa"/>
                  <w:vAlign w:val="center"/>
                </w:tcPr>
                <w:p w14:paraId="4D25254A">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危险固废</w:t>
                  </w:r>
                </w:p>
              </w:tc>
              <w:tc>
                <w:tcPr>
                  <w:tcW w:w="2758" w:type="dxa"/>
                  <w:vAlign w:val="center"/>
                </w:tcPr>
                <w:p w14:paraId="0AE936DB">
                  <w:pPr>
                    <w:pStyle w:val="67"/>
                    <w:numPr>
                      <w:ilvl w:val="0"/>
                      <w:numId w:val="0"/>
                    </w:numPr>
                    <w:jc w:val="center"/>
                    <w:rPr>
                      <w:rFonts w:hint="eastAsia" w:ascii="Times New Roman" w:hAnsi="Times New Roman"/>
                      <w:color w:val="auto"/>
                      <w:szCs w:val="21"/>
                      <w:lang w:val="en-US" w:eastAsia="zh-CN"/>
                    </w:rPr>
                  </w:pPr>
                  <w:r>
                    <w:rPr>
                      <w:rFonts w:hint="eastAsia" w:ascii="Times New Roman" w:hAnsi="Times New Roman"/>
                      <w:color w:val="auto"/>
                      <w:szCs w:val="21"/>
                      <w:lang w:val="en-US" w:eastAsia="zh-CN"/>
                    </w:rPr>
                    <w:t>按《危险废物贮存污染控制标准》设置危废储存间暂存，并进行防渗处理，同时分类委托有资质公司回收处理；配备危险品储存容器</w:t>
                  </w:r>
                </w:p>
              </w:tc>
              <w:tc>
                <w:tcPr>
                  <w:tcW w:w="1738" w:type="dxa"/>
                  <w:vAlign w:val="center"/>
                </w:tcPr>
                <w:p w14:paraId="4C418865">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w:t>
                  </w:r>
                </w:p>
              </w:tc>
            </w:tr>
            <w:tr w14:paraId="49F8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Merge w:val="continue"/>
                  <w:vAlign w:val="center"/>
                </w:tcPr>
                <w:p w14:paraId="1D738FBB">
                  <w:pPr>
                    <w:pStyle w:val="67"/>
                    <w:numPr>
                      <w:ilvl w:val="0"/>
                      <w:numId w:val="0"/>
                    </w:numPr>
                    <w:jc w:val="center"/>
                    <w:rPr>
                      <w:rFonts w:hint="default" w:ascii="Times New Roman" w:hAnsi="Times New Roman"/>
                      <w:color w:val="auto"/>
                      <w:szCs w:val="21"/>
                      <w:lang w:val="en-US" w:eastAsia="zh-CN"/>
                    </w:rPr>
                  </w:pPr>
                </w:p>
              </w:tc>
              <w:tc>
                <w:tcPr>
                  <w:tcW w:w="1500" w:type="dxa"/>
                  <w:vAlign w:val="center"/>
                </w:tcPr>
                <w:p w14:paraId="15267DC5">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生活垃圾</w:t>
                  </w:r>
                </w:p>
              </w:tc>
              <w:tc>
                <w:tcPr>
                  <w:tcW w:w="1650" w:type="dxa"/>
                  <w:vAlign w:val="center"/>
                </w:tcPr>
                <w:p w14:paraId="78FCB49A">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生活垃圾</w:t>
                  </w:r>
                </w:p>
              </w:tc>
              <w:tc>
                <w:tcPr>
                  <w:tcW w:w="2758" w:type="dxa"/>
                  <w:vAlign w:val="center"/>
                </w:tcPr>
                <w:p w14:paraId="77C66D77">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垃圾箱</w:t>
                  </w:r>
                </w:p>
              </w:tc>
              <w:tc>
                <w:tcPr>
                  <w:tcW w:w="1738" w:type="dxa"/>
                  <w:vAlign w:val="center"/>
                </w:tcPr>
                <w:p w14:paraId="0E8633DD">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w:t>
                  </w:r>
                </w:p>
              </w:tc>
            </w:tr>
            <w:tr w14:paraId="018F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44" w:type="dxa"/>
                  <w:vAlign w:val="center"/>
                </w:tcPr>
                <w:p w14:paraId="2F7A2C24">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合计</w:t>
                  </w:r>
                </w:p>
              </w:tc>
              <w:tc>
                <w:tcPr>
                  <w:tcW w:w="1500" w:type="dxa"/>
                  <w:vAlign w:val="center"/>
                </w:tcPr>
                <w:p w14:paraId="07092847">
                  <w:pPr>
                    <w:pStyle w:val="67"/>
                    <w:numPr>
                      <w:ilvl w:val="0"/>
                      <w:numId w:val="0"/>
                    </w:numPr>
                    <w:jc w:val="center"/>
                    <w:rPr>
                      <w:rFonts w:hint="eastAsia" w:ascii="Times New Roman" w:hAnsi="Times New Roman"/>
                      <w:color w:val="auto"/>
                      <w:szCs w:val="21"/>
                      <w:lang w:val="en-US" w:eastAsia="zh-CN"/>
                    </w:rPr>
                  </w:pPr>
                </w:p>
              </w:tc>
              <w:tc>
                <w:tcPr>
                  <w:tcW w:w="1650" w:type="dxa"/>
                  <w:vAlign w:val="center"/>
                </w:tcPr>
                <w:p w14:paraId="503CBED1">
                  <w:pPr>
                    <w:pStyle w:val="67"/>
                    <w:numPr>
                      <w:ilvl w:val="0"/>
                      <w:numId w:val="0"/>
                    </w:numPr>
                    <w:jc w:val="center"/>
                    <w:rPr>
                      <w:rFonts w:hint="eastAsia" w:ascii="Times New Roman" w:hAnsi="Times New Roman"/>
                      <w:color w:val="auto"/>
                      <w:szCs w:val="21"/>
                      <w:lang w:val="en-US" w:eastAsia="zh-CN"/>
                    </w:rPr>
                  </w:pPr>
                </w:p>
              </w:tc>
              <w:tc>
                <w:tcPr>
                  <w:tcW w:w="2758" w:type="dxa"/>
                  <w:vAlign w:val="center"/>
                </w:tcPr>
                <w:p w14:paraId="0B35258C">
                  <w:pPr>
                    <w:pStyle w:val="67"/>
                    <w:numPr>
                      <w:ilvl w:val="0"/>
                      <w:numId w:val="0"/>
                    </w:numPr>
                    <w:jc w:val="center"/>
                    <w:rPr>
                      <w:rFonts w:hint="eastAsia" w:ascii="Times New Roman" w:hAnsi="Times New Roman"/>
                      <w:color w:val="auto"/>
                      <w:szCs w:val="21"/>
                      <w:lang w:val="en-US" w:eastAsia="zh-CN"/>
                    </w:rPr>
                  </w:pPr>
                </w:p>
              </w:tc>
              <w:tc>
                <w:tcPr>
                  <w:tcW w:w="1738" w:type="dxa"/>
                  <w:vAlign w:val="center"/>
                </w:tcPr>
                <w:p w14:paraId="4CD623D6">
                  <w:pPr>
                    <w:pStyle w:val="67"/>
                    <w:numPr>
                      <w:ilvl w:val="0"/>
                      <w:numId w:val="0"/>
                    </w:numPr>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77</w:t>
                  </w:r>
                </w:p>
              </w:tc>
            </w:tr>
          </w:tbl>
          <w:p w14:paraId="4B27CC62">
            <w:pPr>
              <w:pStyle w:val="96"/>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color w:val="000000"/>
                <w:lang w:val="en-US" w:eastAsia="zh-CN"/>
              </w:rPr>
            </w:pPr>
            <w:r>
              <w:rPr>
                <w:rFonts w:hint="eastAsia" w:cs="Times New Roman"/>
                <w:b/>
                <w:bCs/>
                <w:color w:val="000000"/>
                <w:lang w:val="en-US" w:eastAsia="zh-CN"/>
              </w:rPr>
              <w:t>八</w:t>
            </w:r>
            <w:r>
              <w:rPr>
                <w:rFonts w:hint="eastAsia" w:eastAsia="宋体" w:cs="Times New Roman"/>
                <w:b/>
                <w:bCs/>
                <w:color w:val="000000"/>
                <w:lang w:val="en-US" w:eastAsia="zh-CN"/>
              </w:rPr>
              <w:t>、环境监测计划</w:t>
            </w:r>
          </w:p>
          <w:p w14:paraId="5B5D647B">
            <w:pPr>
              <w:spacing w:line="360" w:lineRule="auto"/>
              <w:ind w:firstLine="48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按照</w:t>
            </w:r>
            <w:r>
              <w:rPr>
                <w:rFonts w:hint="default" w:ascii="Times New Roman" w:hAnsi="Times New Roman" w:eastAsia="宋体" w:cs="Times New Roman"/>
                <w:color w:val="000000"/>
                <w:sz w:val="24"/>
                <w:szCs w:val="24"/>
              </w:rPr>
              <w:t>《排污单位自行监测技术指南</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总则》（HJ819-2017）</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《排污许可证申请与核发技术规范 废弃资源加工工业》（HJ</w:t>
            </w:r>
            <w:r>
              <w:rPr>
                <w:rFonts w:hint="default" w:ascii="Times New Roman" w:hAnsi="Times New Roman" w:eastAsia="宋体" w:cs="Times New Roman"/>
                <w:color w:val="000000"/>
                <w:sz w:val="24"/>
                <w:szCs w:val="24"/>
                <w:lang w:val="en-US" w:eastAsia="zh-CN"/>
              </w:rPr>
              <w:t>1034</w:t>
            </w:r>
            <w:r>
              <w:rPr>
                <w:rFonts w:hint="default" w:ascii="Times New Roman" w:hAnsi="Times New Roman" w:eastAsia="宋体" w:cs="Times New Roman"/>
                <w:color w:val="000000"/>
                <w:sz w:val="24"/>
                <w:szCs w:val="24"/>
              </w:rPr>
              <w:t>-201</w:t>
            </w:r>
            <w:r>
              <w:rPr>
                <w:rFonts w:hint="default"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要求，</w:t>
            </w:r>
            <w:r>
              <w:rPr>
                <w:rFonts w:hint="default" w:ascii="Times New Roman" w:hAnsi="Times New Roman" w:eastAsia="宋体" w:cs="Times New Roman"/>
                <w:color w:val="000000"/>
                <w:sz w:val="24"/>
                <w:szCs w:val="24"/>
              </w:rPr>
              <w:t>排污单位应按照最新的监测方案开展监测活动，可根据自身条件和能力，利用自有人员、场所和设备自行监测；也可委托其它有资质的检（监）测机构代其开展自行监测，建立完善的自行监测质量管理制度，做好与监测相关的数据记录，按照规定进行保存，并依据相关法规向社会公开监测结果。本项目环境监测方案如下：</w:t>
            </w:r>
          </w:p>
          <w:p w14:paraId="5EB024BB">
            <w:pPr>
              <w:spacing w:line="360" w:lineRule="auto"/>
              <w:jc w:val="both"/>
              <w:rPr>
                <w:rFonts w:hint="default"/>
                <w:b/>
                <w:color w:val="auto"/>
                <w:sz w:val="24"/>
                <w:lang w:val="en-US" w:eastAsia="zh-CN"/>
              </w:rPr>
            </w:pPr>
            <w:r>
              <w:rPr>
                <w:rFonts w:hint="default"/>
                <w:b/>
                <w:color w:val="auto"/>
                <w:sz w:val="24"/>
                <w:lang w:val="en-US" w:eastAsia="zh-CN"/>
              </w:rPr>
              <w:t>表4-</w:t>
            </w:r>
            <w:r>
              <w:rPr>
                <w:rFonts w:hint="eastAsia"/>
                <w:b/>
                <w:color w:val="auto"/>
                <w:sz w:val="24"/>
                <w:lang w:val="en-US" w:eastAsia="zh-CN"/>
              </w:rPr>
              <w:t>19</w:t>
            </w:r>
            <w:r>
              <w:rPr>
                <w:rFonts w:hint="default"/>
                <w:b/>
                <w:color w:val="auto"/>
                <w:sz w:val="24"/>
                <w:lang w:val="en-US" w:eastAsia="zh-CN"/>
              </w:rPr>
              <w:t xml:space="preserve"> </w:t>
            </w:r>
            <w:r>
              <w:rPr>
                <w:rFonts w:hint="eastAsia"/>
                <w:b/>
                <w:color w:val="auto"/>
                <w:sz w:val="24"/>
                <w:lang w:val="en-US" w:eastAsia="zh-CN"/>
              </w:rPr>
              <w:t xml:space="preserve">        </w:t>
            </w:r>
            <w:r>
              <w:rPr>
                <w:rFonts w:hint="default"/>
                <w:b/>
                <w:color w:val="auto"/>
                <w:sz w:val="24"/>
                <w:lang w:val="en-US" w:eastAsia="zh-CN"/>
              </w:rPr>
              <w:t>本项目监测内容计划表</w:t>
            </w:r>
          </w:p>
          <w:tbl>
            <w:tblPr>
              <w:tblStyle w:val="28"/>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2222"/>
              <w:gridCol w:w="1240"/>
              <w:gridCol w:w="998"/>
              <w:gridCol w:w="2131"/>
              <w:gridCol w:w="1564"/>
            </w:tblGrid>
            <w:tr w14:paraId="1346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tcBorders>
                    <w:tl2br w:val="nil"/>
                    <w:tr2bl w:val="nil"/>
                  </w:tcBorders>
                  <w:noWrap w:val="0"/>
                  <w:vAlign w:val="center"/>
                </w:tcPr>
                <w:p w14:paraId="7B753B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污染物</w:t>
                  </w:r>
                </w:p>
              </w:tc>
              <w:tc>
                <w:tcPr>
                  <w:tcW w:w="1278" w:type="pct"/>
                  <w:tcBorders>
                    <w:tl2br w:val="nil"/>
                    <w:tr2bl w:val="nil"/>
                  </w:tcBorders>
                  <w:noWrap w:val="0"/>
                  <w:vAlign w:val="center"/>
                </w:tcPr>
                <w:p w14:paraId="20C08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监测点位</w:t>
                  </w:r>
                </w:p>
              </w:tc>
              <w:tc>
                <w:tcPr>
                  <w:tcW w:w="713" w:type="pct"/>
                  <w:tcBorders>
                    <w:tl2br w:val="nil"/>
                    <w:tr2bl w:val="nil"/>
                  </w:tcBorders>
                  <w:noWrap w:val="0"/>
                  <w:vAlign w:val="center"/>
                </w:tcPr>
                <w:p w14:paraId="31B89F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监测项目</w:t>
                  </w:r>
                </w:p>
              </w:tc>
              <w:tc>
                <w:tcPr>
                  <w:tcW w:w="574" w:type="pct"/>
                  <w:tcBorders>
                    <w:tl2br w:val="nil"/>
                    <w:tr2bl w:val="nil"/>
                  </w:tcBorders>
                  <w:noWrap w:val="0"/>
                  <w:vAlign w:val="center"/>
                </w:tcPr>
                <w:p w14:paraId="25E9B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监测频次</w:t>
                  </w:r>
                </w:p>
              </w:tc>
              <w:tc>
                <w:tcPr>
                  <w:tcW w:w="1225" w:type="pct"/>
                  <w:tcBorders>
                    <w:tl2br w:val="nil"/>
                    <w:tr2bl w:val="nil"/>
                  </w:tcBorders>
                  <w:noWrap w:val="0"/>
                  <w:vAlign w:val="center"/>
                </w:tcPr>
                <w:p w14:paraId="0A133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执行排放标准</w:t>
                  </w:r>
                </w:p>
              </w:tc>
              <w:tc>
                <w:tcPr>
                  <w:tcW w:w="899" w:type="pct"/>
                  <w:tcBorders>
                    <w:tl2br w:val="nil"/>
                    <w:tr2bl w:val="nil"/>
                  </w:tcBorders>
                  <w:noWrap w:val="0"/>
                  <w:vAlign w:val="center"/>
                </w:tcPr>
                <w:p w14:paraId="41EC28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标准限值</w:t>
                  </w:r>
                </w:p>
              </w:tc>
            </w:tr>
            <w:tr w14:paraId="351D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restart"/>
                  <w:tcBorders>
                    <w:tl2br w:val="nil"/>
                    <w:tr2bl w:val="nil"/>
                  </w:tcBorders>
                  <w:noWrap w:val="0"/>
                  <w:vAlign w:val="center"/>
                </w:tcPr>
                <w:p w14:paraId="780A2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大气</w:t>
                  </w:r>
                </w:p>
              </w:tc>
              <w:tc>
                <w:tcPr>
                  <w:tcW w:w="1278" w:type="pct"/>
                  <w:tcBorders>
                    <w:tl2br w:val="nil"/>
                    <w:tr2bl w:val="nil"/>
                  </w:tcBorders>
                  <w:noWrap w:val="0"/>
                  <w:vAlign w:val="center"/>
                </w:tcPr>
                <w:p w14:paraId="45F985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cs="Times New Roman"/>
                      <w:color w:val="auto"/>
                      <w:szCs w:val="21"/>
                      <w:highlight w:val="none"/>
                    </w:rPr>
                    <w:t>废油液挥发废气、废制冷剂抽取废气、危废暂存间废气</w:t>
                  </w:r>
                  <w:r>
                    <w:rPr>
                      <w:rFonts w:hint="default" w:ascii="Times New Roman" w:hAnsi="Times New Roman" w:eastAsia="宋体" w:cs="Times New Roman"/>
                      <w:color w:val="000000"/>
                      <w:szCs w:val="21"/>
                    </w:rPr>
                    <w:t>（编号：DA00</w:t>
                  </w:r>
                  <w:r>
                    <w:rPr>
                      <w:rFonts w:hint="eastAsia" w:cs="Times New Roman"/>
                      <w:color w:val="000000"/>
                      <w:szCs w:val="21"/>
                      <w:lang w:val="en-US" w:eastAsia="zh-CN"/>
                    </w:rPr>
                    <w:t>2</w:t>
                  </w:r>
                  <w:r>
                    <w:rPr>
                      <w:rFonts w:hint="default" w:ascii="Times New Roman" w:hAnsi="Times New Roman" w:eastAsia="宋体" w:cs="Times New Roman"/>
                      <w:color w:val="000000"/>
                      <w:szCs w:val="21"/>
                    </w:rPr>
                    <w:t>）</w:t>
                  </w:r>
                </w:p>
              </w:tc>
              <w:tc>
                <w:tcPr>
                  <w:tcW w:w="713" w:type="pct"/>
                  <w:tcBorders>
                    <w:tl2br w:val="nil"/>
                    <w:tr2bl w:val="nil"/>
                  </w:tcBorders>
                  <w:noWrap w:val="0"/>
                  <w:vAlign w:val="center"/>
                </w:tcPr>
                <w:p w14:paraId="3F34DA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非甲烷总烃</w:t>
                  </w:r>
                </w:p>
              </w:tc>
              <w:tc>
                <w:tcPr>
                  <w:tcW w:w="574" w:type="pct"/>
                  <w:vMerge w:val="restart"/>
                  <w:tcBorders>
                    <w:tl2br w:val="nil"/>
                    <w:tr2bl w:val="nil"/>
                  </w:tcBorders>
                  <w:noWrap w:val="0"/>
                  <w:vAlign w:val="center"/>
                </w:tcPr>
                <w:p w14:paraId="6BD68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1次/年</w:t>
                  </w:r>
                </w:p>
              </w:tc>
              <w:tc>
                <w:tcPr>
                  <w:tcW w:w="1225" w:type="pct"/>
                  <w:vMerge w:val="restart"/>
                  <w:tcBorders>
                    <w:tl2br w:val="nil"/>
                    <w:tr2bl w:val="nil"/>
                  </w:tcBorders>
                  <w:noWrap w:val="0"/>
                  <w:vAlign w:val="center"/>
                </w:tcPr>
                <w:p w14:paraId="3FD941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《大气污染物综合排放标准》（GB16297-1996）</w:t>
                  </w:r>
                </w:p>
              </w:tc>
              <w:tc>
                <w:tcPr>
                  <w:tcW w:w="899" w:type="pct"/>
                  <w:tcBorders>
                    <w:tl2br w:val="nil"/>
                    <w:tr2bl w:val="nil"/>
                  </w:tcBorders>
                  <w:noWrap w:val="0"/>
                  <w:vAlign w:val="center"/>
                </w:tcPr>
                <w:p w14:paraId="5D9A8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kern w:val="0"/>
                      <w:szCs w:val="21"/>
                    </w:rPr>
                  </w:pP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lang w:val="en-US" w:eastAsia="zh-CN"/>
                    </w:rPr>
                    <w:t>12</w:t>
                  </w:r>
                  <w:r>
                    <w:rPr>
                      <w:rFonts w:hint="default" w:ascii="Times New Roman" w:hAnsi="Times New Roman" w:eastAsia="宋体" w:cs="Times New Roman"/>
                      <w:color w:val="000000"/>
                      <w:szCs w:val="21"/>
                    </w:rPr>
                    <w:t>0mg/m</w:t>
                  </w:r>
                  <w:r>
                    <w:rPr>
                      <w:rFonts w:hint="default" w:ascii="Times New Roman" w:hAnsi="Times New Roman" w:eastAsia="宋体" w:cs="Times New Roman"/>
                      <w:color w:val="000000"/>
                      <w:szCs w:val="21"/>
                      <w:vertAlign w:val="superscript"/>
                    </w:rPr>
                    <w:t>3</w:t>
                  </w:r>
                </w:p>
              </w:tc>
            </w:tr>
            <w:tr w14:paraId="7F76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0BC0B7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tcBorders>
                    <w:tl2br w:val="nil"/>
                    <w:tr2bl w:val="nil"/>
                  </w:tcBorders>
                  <w:noWrap w:val="0"/>
                  <w:vAlign w:val="center"/>
                </w:tcPr>
                <w:p w14:paraId="7DA271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bCs/>
                      <w:color w:val="000000"/>
                      <w:kern w:val="0"/>
                      <w:szCs w:val="21"/>
                      <w:lang w:val="en-US" w:eastAsia="zh-CN"/>
                    </w:rPr>
                    <w:t>废钢破碎、打包</w:t>
                  </w:r>
                  <w:r>
                    <w:rPr>
                      <w:rFonts w:hint="default" w:ascii="Times New Roman" w:hAnsi="Times New Roman" w:eastAsia="宋体" w:cs="Times New Roman"/>
                      <w:bCs/>
                      <w:color w:val="000000"/>
                      <w:kern w:val="0"/>
                      <w:szCs w:val="21"/>
                    </w:rPr>
                    <w:t>废气</w:t>
                  </w:r>
                  <w:r>
                    <w:rPr>
                      <w:rFonts w:hint="default" w:ascii="Times New Roman" w:hAnsi="Times New Roman" w:eastAsia="宋体" w:cs="Times New Roman"/>
                      <w:color w:val="000000"/>
                      <w:szCs w:val="21"/>
                    </w:rPr>
                    <w:t>排放口（编号：DA00</w:t>
                  </w:r>
                  <w:r>
                    <w:rPr>
                      <w:rFonts w:hint="eastAsia" w:cs="Times New Roman"/>
                      <w:color w:val="000000"/>
                      <w:szCs w:val="21"/>
                      <w:lang w:val="en-US" w:eastAsia="zh-CN"/>
                    </w:rPr>
                    <w:t>1</w:t>
                  </w:r>
                  <w:r>
                    <w:rPr>
                      <w:rFonts w:hint="default" w:ascii="Times New Roman" w:hAnsi="Times New Roman" w:eastAsia="宋体" w:cs="Times New Roman"/>
                      <w:color w:val="000000"/>
                      <w:szCs w:val="21"/>
                    </w:rPr>
                    <w:t>）</w:t>
                  </w:r>
                </w:p>
              </w:tc>
              <w:tc>
                <w:tcPr>
                  <w:tcW w:w="713" w:type="pct"/>
                  <w:tcBorders>
                    <w:tl2br w:val="nil"/>
                    <w:tr2bl w:val="nil"/>
                  </w:tcBorders>
                  <w:noWrap w:val="0"/>
                  <w:vAlign w:val="center"/>
                </w:tcPr>
                <w:p w14:paraId="10307A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颗粒物</w:t>
                  </w:r>
                </w:p>
              </w:tc>
              <w:tc>
                <w:tcPr>
                  <w:tcW w:w="574" w:type="pct"/>
                  <w:vMerge w:val="continue"/>
                  <w:tcBorders>
                    <w:tl2br w:val="nil"/>
                    <w:tr2bl w:val="nil"/>
                  </w:tcBorders>
                  <w:noWrap w:val="0"/>
                  <w:vAlign w:val="center"/>
                </w:tcPr>
                <w:p w14:paraId="5FE7C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636F1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693E2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r>
                    <w:rPr>
                      <w:rFonts w:hint="default" w:ascii="Times New Roman" w:hAnsi="Times New Roman" w:eastAsia="宋体" w:cs="Times New Roman"/>
                      <w:color w:val="000000"/>
                      <w:szCs w:val="21"/>
                      <w:lang w:val="en-US" w:eastAsia="zh-CN"/>
                    </w:rPr>
                    <w:t>12</w:t>
                  </w:r>
                  <w:r>
                    <w:rPr>
                      <w:rFonts w:hint="default" w:ascii="Times New Roman" w:hAnsi="Times New Roman" w:eastAsia="宋体" w:cs="Times New Roman"/>
                      <w:color w:val="000000"/>
                      <w:szCs w:val="21"/>
                    </w:rPr>
                    <w:t>0mg/m</w:t>
                  </w:r>
                  <w:r>
                    <w:rPr>
                      <w:rFonts w:hint="default" w:ascii="Times New Roman" w:hAnsi="Times New Roman" w:eastAsia="宋体" w:cs="Times New Roman"/>
                      <w:color w:val="000000"/>
                      <w:szCs w:val="21"/>
                      <w:vertAlign w:val="superscript"/>
                    </w:rPr>
                    <w:t>3</w:t>
                  </w:r>
                </w:p>
              </w:tc>
            </w:tr>
            <w:tr w14:paraId="0FAD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7E692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restart"/>
                  <w:tcBorders>
                    <w:tl2br w:val="nil"/>
                    <w:tr2bl w:val="nil"/>
                  </w:tcBorders>
                  <w:noWrap w:val="0"/>
                  <w:vAlign w:val="center"/>
                </w:tcPr>
                <w:p w14:paraId="7AFCB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无组织排放厂界监控点</w:t>
                  </w:r>
                </w:p>
              </w:tc>
              <w:tc>
                <w:tcPr>
                  <w:tcW w:w="713" w:type="pct"/>
                  <w:tcBorders>
                    <w:tl2br w:val="nil"/>
                    <w:tr2bl w:val="nil"/>
                  </w:tcBorders>
                  <w:noWrap w:val="0"/>
                  <w:vAlign w:val="center"/>
                </w:tcPr>
                <w:p w14:paraId="3E2C2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颗粒物</w:t>
                  </w:r>
                </w:p>
              </w:tc>
              <w:tc>
                <w:tcPr>
                  <w:tcW w:w="574" w:type="pct"/>
                  <w:vMerge w:val="restart"/>
                  <w:tcBorders>
                    <w:tl2br w:val="nil"/>
                    <w:tr2bl w:val="nil"/>
                  </w:tcBorders>
                  <w:noWrap w:val="0"/>
                  <w:vAlign w:val="center"/>
                </w:tcPr>
                <w:p w14:paraId="64208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1次/年</w:t>
                  </w:r>
                </w:p>
              </w:tc>
              <w:tc>
                <w:tcPr>
                  <w:tcW w:w="1225" w:type="pct"/>
                  <w:vMerge w:val="restart"/>
                  <w:tcBorders>
                    <w:tl2br w:val="nil"/>
                    <w:tr2bl w:val="nil"/>
                  </w:tcBorders>
                  <w:noWrap w:val="0"/>
                  <w:vAlign w:val="center"/>
                </w:tcPr>
                <w:p w14:paraId="02721A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《大气污染物综合排放标准》（GB16297-1996）</w:t>
                  </w:r>
                </w:p>
              </w:tc>
              <w:tc>
                <w:tcPr>
                  <w:tcW w:w="899" w:type="pct"/>
                  <w:tcBorders>
                    <w:tl2br w:val="nil"/>
                    <w:tr2bl w:val="nil"/>
                  </w:tcBorders>
                  <w:noWrap w:val="0"/>
                  <w:vAlign w:val="center"/>
                </w:tcPr>
                <w:p w14:paraId="63C02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1.0mg/m</w:t>
                  </w:r>
                  <w:r>
                    <w:rPr>
                      <w:rFonts w:hint="default" w:ascii="Times New Roman" w:hAnsi="Times New Roman" w:eastAsia="宋体" w:cs="Times New Roman"/>
                      <w:color w:val="000000"/>
                      <w:szCs w:val="21"/>
                      <w:vertAlign w:val="superscript"/>
                    </w:rPr>
                    <w:t>3</w:t>
                  </w:r>
                </w:p>
              </w:tc>
            </w:tr>
            <w:tr w14:paraId="43A7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13209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2E2DE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7F4A56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非甲烷总烃</w:t>
                  </w:r>
                </w:p>
              </w:tc>
              <w:tc>
                <w:tcPr>
                  <w:tcW w:w="574" w:type="pct"/>
                  <w:vMerge w:val="continue"/>
                  <w:tcBorders>
                    <w:tl2br w:val="nil"/>
                    <w:tr2bl w:val="nil"/>
                  </w:tcBorders>
                  <w:noWrap w:val="0"/>
                  <w:vAlign w:val="center"/>
                </w:tcPr>
                <w:p w14:paraId="04733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5F350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50BD7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lang w:val="en-US" w:eastAsia="zh-CN"/>
                    </w:rPr>
                    <w:t>4.0</w:t>
                  </w:r>
                  <w:r>
                    <w:rPr>
                      <w:rFonts w:hint="default" w:ascii="Times New Roman" w:hAnsi="Times New Roman" w:eastAsia="宋体" w:cs="Times New Roman"/>
                      <w:color w:val="000000"/>
                      <w:szCs w:val="21"/>
                    </w:rPr>
                    <w:t>mg/m</w:t>
                  </w:r>
                  <w:r>
                    <w:rPr>
                      <w:rFonts w:hint="default" w:ascii="Times New Roman" w:hAnsi="Times New Roman" w:eastAsia="宋体" w:cs="Times New Roman"/>
                      <w:color w:val="000000"/>
                      <w:szCs w:val="21"/>
                      <w:vertAlign w:val="superscript"/>
                    </w:rPr>
                    <w:t>3</w:t>
                  </w:r>
                </w:p>
              </w:tc>
            </w:tr>
            <w:tr w14:paraId="164A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69768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tcBorders>
                    <w:tl2br w:val="nil"/>
                    <w:tr2bl w:val="nil"/>
                  </w:tcBorders>
                  <w:noWrap w:val="0"/>
                  <w:vAlign w:val="center"/>
                </w:tcPr>
                <w:p w14:paraId="44732C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无组织排放厂内监控点</w:t>
                  </w:r>
                </w:p>
              </w:tc>
              <w:tc>
                <w:tcPr>
                  <w:tcW w:w="713" w:type="pct"/>
                  <w:tcBorders>
                    <w:tl2br w:val="nil"/>
                    <w:tr2bl w:val="nil"/>
                  </w:tcBorders>
                  <w:noWrap w:val="0"/>
                  <w:vAlign w:val="center"/>
                </w:tcPr>
                <w:p w14:paraId="7736E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非甲烷总烃</w:t>
                  </w:r>
                </w:p>
              </w:tc>
              <w:tc>
                <w:tcPr>
                  <w:tcW w:w="574" w:type="pct"/>
                  <w:tcBorders>
                    <w:tl2br w:val="nil"/>
                    <w:tr2bl w:val="nil"/>
                  </w:tcBorders>
                  <w:noWrap w:val="0"/>
                  <w:vAlign w:val="center"/>
                </w:tcPr>
                <w:p w14:paraId="00181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1次/年</w:t>
                  </w:r>
                </w:p>
              </w:tc>
              <w:tc>
                <w:tcPr>
                  <w:tcW w:w="1225" w:type="pct"/>
                  <w:tcBorders>
                    <w:tl2br w:val="nil"/>
                    <w:tr2bl w:val="nil"/>
                  </w:tcBorders>
                  <w:noWrap w:val="0"/>
                  <w:vAlign w:val="center"/>
                </w:tcPr>
                <w:p w14:paraId="218B8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《挥发性有机物无组织排放控制标准》（GB37822-2019）</w:t>
                  </w:r>
                </w:p>
              </w:tc>
              <w:tc>
                <w:tcPr>
                  <w:tcW w:w="899" w:type="pct"/>
                  <w:tcBorders>
                    <w:tl2br w:val="nil"/>
                    <w:tr2bl w:val="nil"/>
                  </w:tcBorders>
                  <w:noWrap w:val="0"/>
                  <w:vAlign w:val="center"/>
                </w:tcPr>
                <w:p w14:paraId="6A636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Cs w:val="21"/>
                    </w:rPr>
                  </w:pPr>
                  <w:r>
                    <w:rPr>
                      <w:rFonts w:hint="default" w:ascii="Times New Roman" w:hAnsi="Times New Roman" w:eastAsia="宋体" w:cs="Times New Roman"/>
                      <w:color w:val="000000"/>
                      <w:szCs w:val="21"/>
                    </w:rPr>
                    <w:t>监控点处1h平均浓度值6.0mg/m</w:t>
                  </w:r>
                  <w:r>
                    <w:rPr>
                      <w:rFonts w:hint="default" w:ascii="Times New Roman" w:hAnsi="Times New Roman" w:eastAsia="宋体" w:cs="Times New Roman"/>
                      <w:color w:val="000000"/>
                      <w:szCs w:val="21"/>
                      <w:vertAlign w:val="superscript"/>
                    </w:rPr>
                    <w:t>3</w:t>
                  </w:r>
                  <w:r>
                    <w:rPr>
                      <w:rFonts w:hint="default" w:ascii="Times New Roman" w:hAnsi="Times New Roman" w:eastAsia="宋体" w:cs="Times New Roman"/>
                      <w:color w:val="000000"/>
                      <w:szCs w:val="21"/>
                    </w:rPr>
                    <w:t>；监控点处任意一次浓度值20mg/m</w:t>
                  </w:r>
                  <w:r>
                    <w:rPr>
                      <w:rFonts w:hint="default" w:ascii="Times New Roman" w:hAnsi="Times New Roman" w:eastAsia="宋体" w:cs="Times New Roman"/>
                      <w:color w:val="000000"/>
                      <w:szCs w:val="21"/>
                      <w:vertAlign w:val="superscript"/>
                    </w:rPr>
                    <w:t>3</w:t>
                  </w:r>
                </w:p>
              </w:tc>
            </w:tr>
            <w:tr w14:paraId="630C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tcBorders>
                    <w:tl2br w:val="nil"/>
                    <w:tr2bl w:val="nil"/>
                  </w:tcBorders>
                  <w:noWrap w:val="0"/>
                  <w:vAlign w:val="center"/>
                </w:tcPr>
                <w:p w14:paraId="7CD506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噪声</w:t>
                  </w:r>
                </w:p>
              </w:tc>
              <w:tc>
                <w:tcPr>
                  <w:tcW w:w="1278" w:type="pct"/>
                  <w:tcBorders>
                    <w:tl2br w:val="nil"/>
                    <w:tr2bl w:val="nil"/>
                  </w:tcBorders>
                  <w:noWrap w:val="0"/>
                  <w:vAlign w:val="center"/>
                </w:tcPr>
                <w:p w14:paraId="01AD78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厂界四周</w:t>
                  </w:r>
                </w:p>
              </w:tc>
              <w:tc>
                <w:tcPr>
                  <w:tcW w:w="713" w:type="pct"/>
                  <w:tcBorders>
                    <w:tl2br w:val="nil"/>
                    <w:tr2bl w:val="nil"/>
                  </w:tcBorders>
                  <w:noWrap w:val="0"/>
                  <w:vAlign w:val="center"/>
                </w:tcPr>
                <w:p w14:paraId="61F20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Leq（A）</w:t>
                  </w:r>
                </w:p>
              </w:tc>
              <w:tc>
                <w:tcPr>
                  <w:tcW w:w="574" w:type="pct"/>
                  <w:tcBorders>
                    <w:tl2br w:val="nil"/>
                    <w:tr2bl w:val="nil"/>
                  </w:tcBorders>
                  <w:noWrap w:val="0"/>
                  <w:vAlign w:val="center"/>
                </w:tcPr>
                <w:p w14:paraId="4D471F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1次/季度</w:t>
                  </w:r>
                </w:p>
              </w:tc>
              <w:tc>
                <w:tcPr>
                  <w:tcW w:w="1225" w:type="pct"/>
                  <w:tcBorders>
                    <w:tl2br w:val="nil"/>
                    <w:tr2bl w:val="nil"/>
                  </w:tcBorders>
                  <w:noWrap w:val="0"/>
                  <w:vAlign w:val="center"/>
                </w:tcPr>
                <w:p w14:paraId="395120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《工业企业厂界环境噪声排放标准》（GB12348-2008）中3类区标准</w:t>
                  </w:r>
                </w:p>
              </w:tc>
              <w:tc>
                <w:tcPr>
                  <w:tcW w:w="899" w:type="pct"/>
                  <w:tcBorders>
                    <w:tl2br w:val="nil"/>
                    <w:tr2bl w:val="nil"/>
                  </w:tcBorders>
                  <w:noWrap w:val="0"/>
                  <w:vAlign w:val="center"/>
                </w:tcPr>
                <w:p w14:paraId="15F96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rPr>
                    <w:t>昼间：65dB(A</w:t>
                  </w:r>
                  <w:r>
                    <w:rPr>
                      <w:rFonts w:hint="default" w:ascii="Times New Roman" w:hAnsi="Times New Roman" w:eastAsia="宋体" w:cs="Times New Roman"/>
                      <w:color w:val="000000"/>
                      <w:szCs w:val="21"/>
                      <w:lang w:eastAsia="zh-CN"/>
                    </w:rPr>
                    <w:t>)</w:t>
                  </w:r>
                </w:p>
                <w:p w14:paraId="0EF84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eastAsia="zh-CN"/>
                    </w:rPr>
                  </w:pPr>
                  <w:r>
                    <w:rPr>
                      <w:rFonts w:hint="default" w:ascii="Times New Roman" w:hAnsi="Times New Roman" w:eastAsia="宋体" w:cs="Times New Roman"/>
                      <w:color w:val="000000"/>
                      <w:szCs w:val="21"/>
                    </w:rPr>
                    <w:t>夜间：55dB(A</w:t>
                  </w:r>
                  <w:r>
                    <w:rPr>
                      <w:rFonts w:hint="default" w:ascii="Times New Roman" w:hAnsi="Times New Roman" w:eastAsia="宋体" w:cs="Times New Roman"/>
                      <w:color w:val="000000"/>
                      <w:szCs w:val="21"/>
                      <w:lang w:eastAsia="zh-CN"/>
                    </w:rPr>
                    <w:t>)</w:t>
                  </w:r>
                </w:p>
              </w:tc>
            </w:tr>
            <w:tr w14:paraId="0881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restart"/>
                  <w:tcBorders>
                    <w:tl2br w:val="nil"/>
                    <w:tr2bl w:val="nil"/>
                  </w:tcBorders>
                  <w:noWrap w:val="0"/>
                  <w:vAlign w:val="center"/>
                </w:tcPr>
                <w:p w14:paraId="05A52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地表水</w:t>
                  </w:r>
                </w:p>
              </w:tc>
              <w:tc>
                <w:tcPr>
                  <w:tcW w:w="1278" w:type="pct"/>
                  <w:vMerge w:val="restart"/>
                  <w:tcBorders>
                    <w:tl2br w:val="nil"/>
                    <w:tr2bl w:val="nil"/>
                  </w:tcBorders>
                  <w:noWrap w:val="0"/>
                  <w:vAlign w:val="center"/>
                </w:tcPr>
                <w:p w14:paraId="69C24E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厂区总排口</w:t>
                  </w:r>
                </w:p>
              </w:tc>
              <w:tc>
                <w:tcPr>
                  <w:tcW w:w="713" w:type="pct"/>
                  <w:tcBorders>
                    <w:tl2br w:val="nil"/>
                    <w:tr2bl w:val="nil"/>
                  </w:tcBorders>
                  <w:noWrap w:val="0"/>
                  <w:vAlign w:val="center"/>
                </w:tcPr>
                <w:p w14:paraId="7B66CD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流量</w:t>
                  </w:r>
                </w:p>
              </w:tc>
              <w:tc>
                <w:tcPr>
                  <w:tcW w:w="574" w:type="pct"/>
                  <w:vMerge w:val="restart"/>
                  <w:tcBorders>
                    <w:tl2br w:val="nil"/>
                    <w:tr2bl w:val="nil"/>
                  </w:tcBorders>
                  <w:noWrap w:val="0"/>
                  <w:vAlign w:val="center"/>
                </w:tcPr>
                <w:p w14:paraId="035E7C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w:t>
                  </w:r>
                  <w:r>
                    <w:rPr>
                      <w:rFonts w:hint="default" w:ascii="Times New Roman" w:hAnsi="Times New Roman" w:eastAsia="宋体" w:cs="Times New Roman"/>
                      <w:color w:val="000000"/>
                      <w:szCs w:val="21"/>
                    </w:rPr>
                    <w:t>次/</w:t>
                  </w:r>
                  <w:r>
                    <w:rPr>
                      <w:rFonts w:hint="eastAsia" w:ascii="Times New Roman" w:hAnsi="Times New Roman" w:eastAsia="宋体" w:cs="Times New Roman"/>
                      <w:color w:val="000000"/>
                      <w:szCs w:val="21"/>
                      <w:lang w:val="en-US" w:eastAsia="zh-CN"/>
                    </w:rPr>
                    <w:t>1年</w:t>
                  </w:r>
                </w:p>
              </w:tc>
              <w:tc>
                <w:tcPr>
                  <w:tcW w:w="1225" w:type="pct"/>
                  <w:vMerge w:val="restart"/>
                  <w:tcBorders>
                    <w:tl2br w:val="nil"/>
                    <w:tr2bl w:val="nil"/>
                  </w:tcBorders>
                  <w:noWrap w:val="0"/>
                  <w:vAlign w:val="center"/>
                </w:tcPr>
                <w:p w14:paraId="2E38C6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《污水排入城镇下水道水质标准》</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GB/T31962-2015</w:t>
                  </w:r>
                  <w:r>
                    <w:rPr>
                      <w:rFonts w:hint="default" w:ascii="Times New Roman" w:hAnsi="Times New Roman" w:eastAsia="宋体" w:cs="Times New Roman"/>
                      <w:color w:val="000000"/>
                      <w:szCs w:val="21"/>
                      <w:lang w:eastAsia="zh-CN"/>
                    </w:rPr>
                    <w:t>）</w:t>
                  </w:r>
                  <w:r>
                    <w:rPr>
                      <w:rFonts w:hint="default" w:ascii="Times New Roman" w:hAnsi="Times New Roman" w:eastAsia="宋体" w:cs="Times New Roman"/>
                      <w:color w:val="000000"/>
                      <w:szCs w:val="21"/>
                    </w:rPr>
                    <w:t>表1中的B级标准</w:t>
                  </w:r>
                </w:p>
              </w:tc>
              <w:tc>
                <w:tcPr>
                  <w:tcW w:w="899" w:type="pct"/>
                  <w:tcBorders>
                    <w:tl2br w:val="nil"/>
                    <w:tr2bl w:val="nil"/>
                  </w:tcBorders>
                  <w:noWrap w:val="0"/>
                  <w:vAlign w:val="center"/>
                </w:tcPr>
                <w:p w14:paraId="5245C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w:t>
                  </w:r>
                </w:p>
              </w:tc>
            </w:tr>
            <w:tr w14:paraId="7219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45AC8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75AEC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26B0C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pH</w:t>
                  </w:r>
                </w:p>
              </w:tc>
              <w:tc>
                <w:tcPr>
                  <w:tcW w:w="574" w:type="pct"/>
                  <w:vMerge w:val="continue"/>
                  <w:tcBorders>
                    <w:tl2br w:val="nil"/>
                    <w:tr2bl w:val="nil"/>
                  </w:tcBorders>
                  <w:noWrap w:val="0"/>
                  <w:vAlign w:val="center"/>
                </w:tcPr>
                <w:p w14:paraId="26F84A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6F1DD0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28238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6.5-9.5</w:t>
                  </w:r>
                </w:p>
              </w:tc>
            </w:tr>
            <w:tr w14:paraId="744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1B62E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7B2E2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0E43F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COD</w:t>
                  </w:r>
                </w:p>
              </w:tc>
              <w:tc>
                <w:tcPr>
                  <w:tcW w:w="574" w:type="pct"/>
                  <w:vMerge w:val="continue"/>
                  <w:tcBorders>
                    <w:tl2br w:val="nil"/>
                    <w:tr2bl w:val="nil"/>
                  </w:tcBorders>
                  <w:noWrap w:val="0"/>
                  <w:vAlign w:val="center"/>
                </w:tcPr>
                <w:p w14:paraId="72DA7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3DF5DC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50C5F0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rPr>
                    <w:t>500</w:t>
                  </w:r>
                  <w:r>
                    <w:rPr>
                      <w:rFonts w:hint="default" w:ascii="Times New Roman" w:hAnsi="Times New Roman" w:eastAsia="宋体" w:cs="Times New Roman"/>
                      <w:color w:val="000000"/>
                      <w:szCs w:val="21"/>
                    </w:rPr>
                    <w:t>mg/L</w:t>
                  </w:r>
                </w:p>
              </w:tc>
            </w:tr>
            <w:tr w14:paraId="0A0F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5AACB2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3204C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3DE24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氨氮</w:t>
                  </w:r>
                </w:p>
              </w:tc>
              <w:tc>
                <w:tcPr>
                  <w:tcW w:w="574" w:type="pct"/>
                  <w:vMerge w:val="continue"/>
                  <w:tcBorders>
                    <w:tl2br w:val="nil"/>
                    <w:tr2bl w:val="nil"/>
                  </w:tcBorders>
                  <w:noWrap w:val="0"/>
                  <w:vAlign w:val="center"/>
                </w:tcPr>
                <w:p w14:paraId="381842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0D1D6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7D775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rPr>
                    <w:t>45</w:t>
                  </w:r>
                  <w:r>
                    <w:rPr>
                      <w:rFonts w:hint="default" w:ascii="Times New Roman" w:hAnsi="Times New Roman" w:eastAsia="宋体" w:cs="Times New Roman"/>
                      <w:color w:val="000000"/>
                      <w:szCs w:val="21"/>
                    </w:rPr>
                    <w:t>mg/L</w:t>
                  </w:r>
                </w:p>
              </w:tc>
            </w:tr>
            <w:tr w14:paraId="0740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1FD4D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3C70AF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29F4A2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SS</w:t>
                  </w:r>
                </w:p>
              </w:tc>
              <w:tc>
                <w:tcPr>
                  <w:tcW w:w="574" w:type="pct"/>
                  <w:vMerge w:val="continue"/>
                  <w:tcBorders>
                    <w:tl2br w:val="nil"/>
                    <w:tr2bl w:val="nil"/>
                  </w:tcBorders>
                  <w:noWrap w:val="0"/>
                  <w:vAlign w:val="center"/>
                </w:tcPr>
                <w:p w14:paraId="59987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53FB5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2951A9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rPr>
                    <w:t>400</w:t>
                  </w:r>
                  <w:r>
                    <w:rPr>
                      <w:rFonts w:hint="default" w:ascii="Times New Roman" w:hAnsi="Times New Roman" w:eastAsia="宋体" w:cs="Times New Roman"/>
                      <w:color w:val="000000"/>
                      <w:szCs w:val="21"/>
                    </w:rPr>
                    <w:t>mg/L</w:t>
                  </w:r>
                </w:p>
              </w:tc>
            </w:tr>
            <w:tr w14:paraId="0878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09" w:type="pct"/>
                  <w:vMerge w:val="continue"/>
                  <w:tcBorders>
                    <w:tl2br w:val="nil"/>
                    <w:tr2bl w:val="nil"/>
                  </w:tcBorders>
                  <w:noWrap w:val="0"/>
                  <w:vAlign w:val="center"/>
                </w:tcPr>
                <w:p w14:paraId="4D3A88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78" w:type="pct"/>
                  <w:vMerge w:val="continue"/>
                  <w:tcBorders>
                    <w:tl2br w:val="nil"/>
                    <w:tr2bl w:val="nil"/>
                  </w:tcBorders>
                  <w:noWrap w:val="0"/>
                  <w:vAlign w:val="center"/>
                </w:tcPr>
                <w:p w14:paraId="6A8E7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713" w:type="pct"/>
                  <w:tcBorders>
                    <w:tl2br w:val="nil"/>
                    <w:tr2bl w:val="nil"/>
                  </w:tcBorders>
                  <w:noWrap w:val="0"/>
                  <w:vAlign w:val="center"/>
                </w:tcPr>
                <w:p w14:paraId="56BEE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石油类</w:t>
                  </w:r>
                </w:p>
              </w:tc>
              <w:tc>
                <w:tcPr>
                  <w:tcW w:w="574" w:type="pct"/>
                  <w:vMerge w:val="continue"/>
                  <w:tcBorders>
                    <w:tl2br w:val="nil"/>
                    <w:tr2bl w:val="nil"/>
                  </w:tcBorders>
                  <w:noWrap w:val="0"/>
                  <w:vAlign w:val="center"/>
                </w:tcPr>
                <w:p w14:paraId="31F90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1225" w:type="pct"/>
                  <w:vMerge w:val="continue"/>
                  <w:tcBorders>
                    <w:tl2br w:val="nil"/>
                    <w:tr2bl w:val="nil"/>
                  </w:tcBorders>
                  <w:noWrap w:val="0"/>
                  <w:vAlign w:val="center"/>
                </w:tcPr>
                <w:p w14:paraId="7AFC9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p>
              </w:tc>
              <w:tc>
                <w:tcPr>
                  <w:tcW w:w="899" w:type="pct"/>
                  <w:tcBorders>
                    <w:tl2br w:val="nil"/>
                    <w:tr2bl w:val="nil"/>
                  </w:tcBorders>
                  <w:noWrap w:val="0"/>
                  <w:vAlign w:val="center"/>
                </w:tcPr>
                <w:p w14:paraId="177C2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szCs w:val="21"/>
                    </w:rPr>
                  </w:pPr>
                  <w:r>
                    <w:rPr>
                      <w:rFonts w:hint="eastAsia" w:cs="Times New Roman"/>
                      <w:color w:val="000000"/>
                      <w:szCs w:val="21"/>
                      <w:lang w:val="en-US" w:eastAsia="zh-CN"/>
                    </w:rPr>
                    <w:t>15</w:t>
                  </w:r>
                  <w:r>
                    <w:rPr>
                      <w:rFonts w:hint="default" w:ascii="Times New Roman" w:hAnsi="Times New Roman" w:eastAsia="宋体" w:cs="Times New Roman"/>
                      <w:color w:val="000000"/>
                      <w:szCs w:val="21"/>
                    </w:rPr>
                    <w:t>mg/L</w:t>
                  </w:r>
                </w:p>
              </w:tc>
            </w:tr>
          </w:tbl>
          <w:p w14:paraId="759D27B7">
            <w:pPr>
              <w:spacing w:line="520" w:lineRule="exact"/>
              <w:ind w:firstLine="391" w:firstLineChars="206"/>
              <w:jc w:val="both"/>
              <w:rPr>
                <w:rFonts w:hint="default" w:ascii="Times New Roman" w:hAnsi="Times New Roman" w:eastAsia="宋体" w:cs="Times New Roman"/>
                <w:bCs/>
                <w:color w:val="auto"/>
                <w:spacing w:val="-10"/>
                <w:szCs w:val="21"/>
                <w:highlight w:val="none"/>
                <w:lang w:val="en-US" w:eastAsia="zh-CN"/>
              </w:rPr>
            </w:pPr>
            <w:bookmarkStart w:id="5" w:name="_GoBack"/>
            <w:bookmarkEnd w:id="5"/>
          </w:p>
        </w:tc>
      </w:tr>
    </w:tbl>
    <w:p w14:paraId="0C0E4205">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417" w:bottom="2127" w:left="1417" w:header="851" w:footer="851" w:gutter="0"/>
          <w:pgBorders>
            <w:top w:val="none" w:sz="0" w:space="0"/>
            <w:left w:val="none" w:sz="0" w:space="0"/>
            <w:bottom w:val="none" w:sz="0" w:space="0"/>
            <w:right w:val="none" w:sz="0" w:space="0"/>
          </w:pgBorders>
          <w:cols w:space="720" w:num="1"/>
          <w:docGrid w:linePitch="312" w:charSpace="0"/>
        </w:sectPr>
      </w:pPr>
    </w:p>
    <w:p w14:paraId="345AFF02">
      <w:pPr>
        <w:pStyle w:val="24"/>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4" w:name="_Hlk54167917"/>
      <w:r>
        <w:rPr>
          <w:rFonts w:hint="default" w:ascii="Times New Roman" w:hAnsi="Times New Roman" w:eastAsia="黑体" w:cs="Times New Roman"/>
          <w:snapToGrid w:val="0"/>
          <w:color w:val="auto"/>
          <w:sz w:val="30"/>
          <w:szCs w:val="30"/>
          <w:highlight w:val="none"/>
        </w:rPr>
        <w:t>环境保护措施监督检查清单</w:t>
      </w:r>
      <w:bookmarkEnd w:id="4"/>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35"/>
        <w:gridCol w:w="1685"/>
        <w:gridCol w:w="1336"/>
        <w:gridCol w:w="2255"/>
        <w:gridCol w:w="2149"/>
      </w:tblGrid>
      <w:tr w14:paraId="13D18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35" w:type="dxa"/>
            <w:tcBorders>
              <w:tl2br w:val="nil"/>
              <w:tr2bl w:val="nil"/>
            </w:tcBorders>
            <w:noWrap w:val="0"/>
            <w:vAlign w:val="top"/>
          </w:tcPr>
          <w:p w14:paraId="362DC88F">
            <w:pPr>
              <w:adjustRightInd w:val="0"/>
              <w:snapToGrid w:val="0"/>
              <w:ind w:firstLine="84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8890</wp:posOffset>
                      </wp:positionV>
                      <wp:extent cx="967105" cy="332105"/>
                      <wp:effectExtent l="1270" t="4445" r="3175" b="6350"/>
                      <wp:wrapNone/>
                      <wp:docPr id="13" name="直接连接符 13"/>
                      <wp:cNvGraphicFramePr/>
                      <a:graphic xmlns:a="http://schemas.openxmlformats.org/drawingml/2006/main">
                        <a:graphicData uri="http://schemas.microsoft.com/office/word/2010/wordprocessingShape">
                          <wps:wsp>
                            <wps:cNvCnPr/>
                            <wps:spPr>
                              <a:xfrm flipH="1" flipV="1">
                                <a:off x="0" y="0"/>
                                <a:ext cx="967105" cy="3321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2.7pt;margin-top:0.7pt;height:26.15pt;width:76.15pt;z-index:251660288;mso-width-relative:page;mso-height-relative:page;" filled="f" stroked="t" coordsize="21600,21600" o:gfxdata="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LU3rbTAAAABwEAAA8AAAAAAAAAAQAgAAAAIgAAAGRycy9kb3ducmV2&#10;LnhtbFBLAQIUABQAAAAIAIdO4kDpfhyoAQIAAP4DAAAOAAAAAAAAAAEAIAAAACIBAABkcnMvZTJv&#10;RG9jLnhtbFBLBQYAAAAABgAGAFkBAACVBQAAAAA=&#10;">
                      <v:fill on="f" focussize="0,0"/>
                      <v:stroke color="#000000" joinstyle="round"/>
                      <v:imagedata o:title=""/>
                      <o:lock v:ext="edit" aspectratio="f"/>
                    </v:line>
                  </w:pict>
                </mc:Fallback>
              </mc:AlternateContent>
            </w:r>
            <w:r>
              <w:rPr>
                <w:rFonts w:hint="default" w:ascii="Times New Roman" w:hAnsi="Times New Roman" w:eastAsia="宋体" w:cs="Times New Roman"/>
                <w:color w:val="auto"/>
                <w:szCs w:val="21"/>
                <w:highlight w:val="none"/>
              </w:rPr>
              <w:t>内容</w:t>
            </w:r>
          </w:p>
          <w:p w14:paraId="65D0F5A8">
            <w:pP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要素</w:t>
            </w:r>
          </w:p>
        </w:tc>
        <w:tc>
          <w:tcPr>
            <w:tcW w:w="1685" w:type="dxa"/>
            <w:tcBorders>
              <w:tl2br w:val="nil"/>
              <w:tr2bl w:val="nil"/>
            </w:tcBorders>
            <w:noWrap w:val="0"/>
            <w:vAlign w:val="center"/>
          </w:tcPr>
          <w:p w14:paraId="0541DDD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排放口(编号、</w:t>
            </w:r>
          </w:p>
          <w:p w14:paraId="2ED62156">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名称)/污染源</w:t>
            </w:r>
          </w:p>
        </w:tc>
        <w:tc>
          <w:tcPr>
            <w:tcW w:w="1336" w:type="dxa"/>
            <w:tcBorders>
              <w:tl2br w:val="nil"/>
              <w:tr2bl w:val="nil"/>
            </w:tcBorders>
            <w:noWrap w:val="0"/>
            <w:vAlign w:val="center"/>
          </w:tcPr>
          <w:p w14:paraId="2A182C3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污染物项目</w:t>
            </w:r>
          </w:p>
        </w:tc>
        <w:tc>
          <w:tcPr>
            <w:tcW w:w="2255" w:type="dxa"/>
            <w:tcBorders>
              <w:tl2br w:val="nil"/>
              <w:tr2bl w:val="nil"/>
            </w:tcBorders>
            <w:noWrap w:val="0"/>
            <w:vAlign w:val="center"/>
          </w:tcPr>
          <w:p w14:paraId="1E20A72A">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环境保护措施</w:t>
            </w:r>
          </w:p>
        </w:tc>
        <w:tc>
          <w:tcPr>
            <w:tcW w:w="2149" w:type="dxa"/>
            <w:tcBorders>
              <w:tl2br w:val="nil"/>
              <w:tr2bl w:val="nil"/>
            </w:tcBorders>
            <w:noWrap w:val="0"/>
            <w:vAlign w:val="center"/>
          </w:tcPr>
          <w:p w14:paraId="7FDE307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14:paraId="5E9A2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 w:hRule="atLeast"/>
          <w:jc w:val="center"/>
        </w:trPr>
        <w:tc>
          <w:tcPr>
            <w:tcW w:w="1635" w:type="dxa"/>
            <w:vMerge w:val="restart"/>
            <w:tcBorders>
              <w:tl2br w:val="nil"/>
              <w:tr2bl w:val="nil"/>
            </w:tcBorders>
            <w:noWrap w:val="0"/>
            <w:vAlign w:val="center"/>
          </w:tcPr>
          <w:p w14:paraId="5FF60EF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w:t>
            </w:r>
          </w:p>
        </w:tc>
        <w:tc>
          <w:tcPr>
            <w:tcW w:w="1685" w:type="dxa"/>
            <w:tcBorders>
              <w:tl2br w:val="nil"/>
              <w:tr2bl w:val="nil"/>
            </w:tcBorders>
            <w:noWrap w:val="0"/>
            <w:vAlign w:val="center"/>
          </w:tcPr>
          <w:p w14:paraId="18DFB85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废油液挥发废气、废制冷剂抽取废气、危废暂存间废气</w:t>
            </w:r>
          </w:p>
        </w:tc>
        <w:tc>
          <w:tcPr>
            <w:tcW w:w="1336" w:type="dxa"/>
            <w:tcBorders>
              <w:tl2br w:val="nil"/>
              <w:tr2bl w:val="nil"/>
            </w:tcBorders>
            <w:noWrap w:val="0"/>
            <w:vAlign w:val="center"/>
          </w:tcPr>
          <w:p w14:paraId="09C2476F">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非甲烷总烃</w:t>
            </w:r>
          </w:p>
        </w:tc>
        <w:tc>
          <w:tcPr>
            <w:tcW w:w="2255" w:type="dxa"/>
            <w:tcBorders>
              <w:tl2br w:val="nil"/>
              <w:tr2bl w:val="nil"/>
            </w:tcBorders>
            <w:noWrap w:val="0"/>
            <w:vAlign w:val="center"/>
          </w:tcPr>
          <w:p w14:paraId="33F8E1E6">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bCs/>
                <w:color w:val="auto"/>
                <w:szCs w:val="21"/>
                <w:lang w:val="en-US" w:eastAsia="zh-CN"/>
              </w:rPr>
              <w:t>集气罩+二级活性炭吸附装置</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15</w:t>
            </w:r>
            <w:r>
              <w:rPr>
                <w:rFonts w:hint="default" w:ascii="Times New Roman" w:hAnsi="Times New Roman" w:eastAsia="宋体" w:cs="Times New Roman"/>
                <w:color w:val="auto"/>
                <w:szCs w:val="21"/>
                <w:highlight w:val="none"/>
                <w:lang w:val="en-US" w:eastAsia="zh-CN"/>
              </w:rPr>
              <w:t>m高排气筒</w:t>
            </w:r>
            <w:r>
              <w:rPr>
                <w:rFonts w:hint="eastAsia" w:cs="Times New Roman"/>
                <w:color w:val="auto"/>
                <w:szCs w:val="21"/>
                <w:highlight w:val="none"/>
                <w:lang w:val="en-US" w:eastAsia="zh-CN"/>
              </w:rPr>
              <w:t>（DA002）</w:t>
            </w:r>
          </w:p>
        </w:tc>
        <w:tc>
          <w:tcPr>
            <w:tcW w:w="2149" w:type="dxa"/>
            <w:vMerge w:val="restart"/>
            <w:tcBorders>
              <w:tl2br w:val="nil"/>
              <w:tr2bl w:val="nil"/>
            </w:tcBorders>
            <w:noWrap w:val="0"/>
            <w:vAlign w:val="center"/>
          </w:tcPr>
          <w:p w14:paraId="307388F4">
            <w:pPr>
              <w:adjustRightInd w:val="0"/>
              <w:snapToGrid w:val="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rPr>
              <w:t>《大气污染物综合排放标准》（GB16297-1996）表2中排放监控浓度限值标准</w:t>
            </w:r>
          </w:p>
        </w:tc>
      </w:tr>
      <w:tr w14:paraId="4561E9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1635" w:type="dxa"/>
            <w:vMerge w:val="continue"/>
            <w:tcBorders>
              <w:tl2br w:val="nil"/>
              <w:tr2bl w:val="nil"/>
            </w:tcBorders>
            <w:noWrap w:val="0"/>
            <w:vAlign w:val="center"/>
          </w:tcPr>
          <w:p w14:paraId="0DCD6824">
            <w:pPr>
              <w:adjustRightInd w:val="0"/>
              <w:snapToGrid w:val="0"/>
              <w:jc w:val="center"/>
              <w:rPr>
                <w:rFonts w:hint="default" w:ascii="Times New Roman" w:hAnsi="Times New Roman" w:eastAsia="宋体" w:cs="Times New Roman"/>
                <w:color w:val="auto"/>
                <w:szCs w:val="21"/>
                <w:highlight w:val="none"/>
              </w:rPr>
            </w:pPr>
          </w:p>
        </w:tc>
        <w:tc>
          <w:tcPr>
            <w:tcW w:w="1685" w:type="dxa"/>
            <w:tcBorders>
              <w:tl2br w:val="nil"/>
              <w:tr2bl w:val="nil"/>
            </w:tcBorders>
            <w:noWrap w:val="0"/>
            <w:vAlign w:val="center"/>
          </w:tcPr>
          <w:p w14:paraId="793C798C">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拆解车间</w:t>
            </w:r>
          </w:p>
        </w:tc>
        <w:tc>
          <w:tcPr>
            <w:tcW w:w="1336" w:type="dxa"/>
            <w:tcBorders>
              <w:tl2br w:val="nil"/>
              <w:tr2bl w:val="nil"/>
            </w:tcBorders>
            <w:noWrap w:val="0"/>
            <w:vAlign w:val="center"/>
          </w:tcPr>
          <w:p w14:paraId="050A38A5">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颗粒物</w:t>
            </w:r>
          </w:p>
        </w:tc>
        <w:tc>
          <w:tcPr>
            <w:tcW w:w="2255" w:type="dxa"/>
            <w:tcBorders>
              <w:tl2br w:val="nil"/>
              <w:tr2bl w:val="nil"/>
            </w:tcBorders>
            <w:noWrap w:val="0"/>
            <w:vAlign w:val="center"/>
          </w:tcPr>
          <w:p w14:paraId="73CE3CFF">
            <w:pPr>
              <w:adjustRightInd w:val="0"/>
              <w:snapToGrid w:val="0"/>
              <w:jc w:val="center"/>
              <w:rPr>
                <w:rFonts w:hint="eastAsia" w:cs="Times New Roman"/>
                <w:bCs/>
                <w:color w:val="auto"/>
                <w:szCs w:val="21"/>
                <w:lang w:val="en-US" w:eastAsia="zh-CN"/>
              </w:rPr>
            </w:pPr>
            <w:r>
              <w:rPr>
                <w:rFonts w:hint="eastAsia" w:cs="Times New Roman"/>
                <w:bCs/>
                <w:color w:val="auto"/>
                <w:szCs w:val="21"/>
                <w:lang w:val="en-US" w:eastAsia="zh-CN"/>
              </w:rPr>
              <w:t>集气罩+布袋除尘器</w:t>
            </w:r>
            <w:r>
              <w:rPr>
                <w:rFonts w:hint="default" w:ascii="Times New Roman" w:hAnsi="Times New Roman" w:eastAsia="宋体" w:cs="Times New Roman"/>
                <w:color w:val="auto"/>
                <w:szCs w:val="21"/>
                <w:highlight w:val="none"/>
                <w:lang w:val="en-US" w:eastAsia="zh-CN"/>
              </w:rPr>
              <w:t>+</w:t>
            </w:r>
            <w:r>
              <w:rPr>
                <w:rFonts w:hint="eastAsia" w:cs="Times New Roman"/>
                <w:color w:val="auto"/>
                <w:szCs w:val="21"/>
                <w:highlight w:val="none"/>
                <w:lang w:val="en-US" w:eastAsia="zh-CN"/>
              </w:rPr>
              <w:t>15</w:t>
            </w:r>
            <w:r>
              <w:rPr>
                <w:rFonts w:hint="default" w:ascii="Times New Roman" w:hAnsi="Times New Roman" w:eastAsia="宋体" w:cs="Times New Roman"/>
                <w:color w:val="auto"/>
                <w:szCs w:val="21"/>
                <w:highlight w:val="none"/>
                <w:lang w:val="en-US" w:eastAsia="zh-CN"/>
              </w:rPr>
              <w:t>m高排气筒</w:t>
            </w:r>
            <w:r>
              <w:rPr>
                <w:rFonts w:hint="eastAsia" w:cs="Times New Roman"/>
                <w:color w:val="auto"/>
                <w:szCs w:val="21"/>
                <w:highlight w:val="none"/>
                <w:lang w:val="en-US" w:eastAsia="zh-CN"/>
              </w:rPr>
              <w:t>（DA001）</w:t>
            </w:r>
          </w:p>
        </w:tc>
        <w:tc>
          <w:tcPr>
            <w:tcW w:w="2149" w:type="dxa"/>
            <w:vMerge w:val="continue"/>
            <w:tcBorders>
              <w:tl2br w:val="nil"/>
              <w:tr2bl w:val="nil"/>
            </w:tcBorders>
            <w:noWrap w:val="0"/>
            <w:vAlign w:val="center"/>
          </w:tcPr>
          <w:p w14:paraId="3FC011AA">
            <w:pPr>
              <w:adjustRightInd w:val="0"/>
              <w:snapToGrid w:val="0"/>
              <w:jc w:val="center"/>
              <w:rPr>
                <w:rFonts w:hint="default" w:ascii="Times New Roman" w:hAnsi="Times New Roman" w:eastAsia="宋体" w:cs="Times New Roman"/>
                <w:color w:val="auto"/>
                <w:kern w:val="0"/>
                <w:sz w:val="21"/>
                <w:szCs w:val="21"/>
                <w:highlight w:val="none"/>
                <w:lang w:val="en-US"/>
              </w:rPr>
            </w:pPr>
          </w:p>
        </w:tc>
      </w:tr>
      <w:tr w14:paraId="41FCE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635" w:type="dxa"/>
            <w:vMerge w:val="continue"/>
            <w:tcBorders>
              <w:tl2br w:val="nil"/>
              <w:tr2bl w:val="nil"/>
            </w:tcBorders>
            <w:noWrap w:val="0"/>
            <w:vAlign w:val="center"/>
          </w:tcPr>
          <w:p w14:paraId="705F68E9">
            <w:pPr>
              <w:adjustRightInd w:val="0"/>
              <w:snapToGrid w:val="0"/>
              <w:jc w:val="center"/>
              <w:rPr>
                <w:rFonts w:hint="default" w:ascii="Times New Roman" w:hAnsi="Times New Roman" w:eastAsia="宋体" w:cs="Times New Roman"/>
                <w:color w:val="auto"/>
                <w:szCs w:val="21"/>
                <w:highlight w:val="none"/>
              </w:rPr>
            </w:pPr>
          </w:p>
        </w:tc>
        <w:tc>
          <w:tcPr>
            <w:tcW w:w="1685" w:type="dxa"/>
            <w:vMerge w:val="restart"/>
            <w:tcBorders>
              <w:tl2br w:val="nil"/>
              <w:tr2bl w:val="nil"/>
            </w:tcBorders>
            <w:noWrap w:val="0"/>
            <w:vAlign w:val="center"/>
          </w:tcPr>
          <w:p w14:paraId="17DC728E">
            <w:pPr>
              <w:widowControl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厂界四周</w:t>
            </w:r>
          </w:p>
        </w:tc>
        <w:tc>
          <w:tcPr>
            <w:tcW w:w="1336" w:type="dxa"/>
            <w:tcBorders>
              <w:tl2br w:val="nil"/>
              <w:tr2bl w:val="nil"/>
            </w:tcBorders>
            <w:noWrap w:val="0"/>
            <w:vAlign w:val="center"/>
          </w:tcPr>
          <w:p w14:paraId="4F696D2D">
            <w:pPr>
              <w:widowControl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非甲烷总烃</w:t>
            </w:r>
          </w:p>
        </w:tc>
        <w:tc>
          <w:tcPr>
            <w:tcW w:w="2255" w:type="dxa"/>
            <w:vMerge w:val="restart"/>
            <w:tcBorders>
              <w:tl2br w:val="nil"/>
              <w:tr2bl w:val="nil"/>
            </w:tcBorders>
            <w:noWrap w:val="0"/>
            <w:vAlign w:val="center"/>
          </w:tcPr>
          <w:p w14:paraId="51267C6E">
            <w:pPr>
              <w:widowControl w:val="0"/>
              <w:jc w:val="center"/>
              <w:rPr>
                <w:rFonts w:hint="default" w:ascii="Times New Roman" w:hAnsi="Times New Roman" w:eastAsia="宋体" w:cs="Times New Roman"/>
                <w:color w:val="auto"/>
                <w:highlight w:val="none"/>
                <w:lang w:val="en-US" w:eastAsia="zh-CN"/>
              </w:rPr>
            </w:pPr>
            <w:r>
              <w:rPr>
                <w:rFonts w:hint="eastAsia" w:cs="Times New Roman"/>
                <w:bCs/>
                <w:color w:val="auto"/>
                <w:szCs w:val="21"/>
                <w:lang w:val="en-US" w:eastAsia="zh-CN"/>
              </w:rPr>
              <w:t>加强生产运行期的设备管理，减少物料泄漏，厂区进行绿化</w:t>
            </w:r>
          </w:p>
        </w:tc>
        <w:tc>
          <w:tcPr>
            <w:tcW w:w="2149" w:type="dxa"/>
            <w:vMerge w:val="restart"/>
            <w:tcBorders>
              <w:tl2br w:val="nil"/>
              <w:tr2bl w:val="nil"/>
            </w:tcBorders>
            <w:noWrap w:val="0"/>
            <w:vAlign w:val="center"/>
          </w:tcPr>
          <w:p w14:paraId="3570CFB1">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《大气污染物综合排放标准》（GB16297-1996）表2中无组织排放监控浓度限值</w:t>
            </w:r>
          </w:p>
        </w:tc>
      </w:tr>
      <w:tr w14:paraId="59A72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jc w:val="center"/>
        </w:trPr>
        <w:tc>
          <w:tcPr>
            <w:tcW w:w="1635" w:type="dxa"/>
            <w:vMerge w:val="continue"/>
            <w:tcBorders>
              <w:tl2br w:val="nil"/>
              <w:tr2bl w:val="nil"/>
            </w:tcBorders>
            <w:noWrap w:val="0"/>
            <w:vAlign w:val="center"/>
          </w:tcPr>
          <w:p w14:paraId="7CF2D019">
            <w:pPr>
              <w:widowControl w:val="0"/>
              <w:jc w:val="center"/>
            </w:pPr>
          </w:p>
        </w:tc>
        <w:tc>
          <w:tcPr>
            <w:tcW w:w="1685" w:type="dxa"/>
            <w:vMerge w:val="continue"/>
            <w:tcBorders>
              <w:tl2br w:val="nil"/>
              <w:tr2bl w:val="nil"/>
            </w:tcBorders>
            <w:noWrap w:val="0"/>
            <w:vAlign w:val="center"/>
          </w:tcPr>
          <w:p w14:paraId="425AE540">
            <w:pPr>
              <w:widowControl w:val="0"/>
              <w:jc w:val="center"/>
            </w:pPr>
          </w:p>
        </w:tc>
        <w:tc>
          <w:tcPr>
            <w:tcW w:w="1336" w:type="dxa"/>
            <w:tcBorders>
              <w:tl2br w:val="nil"/>
              <w:tr2bl w:val="nil"/>
            </w:tcBorders>
            <w:noWrap w:val="0"/>
            <w:vAlign w:val="center"/>
          </w:tcPr>
          <w:p w14:paraId="67C3B804">
            <w:pPr>
              <w:widowControl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颗粒物</w:t>
            </w:r>
          </w:p>
        </w:tc>
        <w:tc>
          <w:tcPr>
            <w:tcW w:w="2255" w:type="dxa"/>
            <w:vMerge w:val="continue"/>
            <w:tcBorders>
              <w:tl2br w:val="nil"/>
              <w:tr2bl w:val="nil"/>
            </w:tcBorders>
            <w:noWrap w:val="0"/>
            <w:vAlign w:val="center"/>
          </w:tcPr>
          <w:p w14:paraId="30346618">
            <w:pPr>
              <w:widowControl w:val="0"/>
              <w:jc w:val="center"/>
              <w:rPr>
                <w:rFonts w:hint="default" w:ascii="Times New Roman" w:hAnsi="Times New Roman" w:eastAsia="宋体" w:cs="Times New Roman"/>
                <w:color w:val="auto"/>
                <w:highlight w:val="none"/>
                <w:lang w:val="en-US" w:eastAsia="zh-CN"/>
              </w:rPr>
            </w:pPr>
          </w:p>
        </w:tc>
        <w:tc>
          <w:tcPr>
            <w:tcW w:w="2149" w:type="dxa"/>
            <w:vMerge w:val="continue"/>
            <w:tcBorders>
              <w:tl2br w:val="nil"/>
              <w:tr2bl w:val="nil"/>
            </w:tcBorders>
            <w:noWrap w:val="0"/>
            <w:vAlign w:val="center"/>
          </w:tcPr>
          <w:p w14:paraId="4EC3A30D">
            <w:pPr>
              <w:widowControl w:val="0"/>
              <w:jc w:val="center"/>
              <w:rPr>
                <w:rFonts w:hint="default" w:ascii="Times New Roman" w:hAnsi="Times New Roman" w:eastAsia="宋体" w:cs="Times New Roman"/>
                <w:color w:val="auto"/>
                <w:highlight w:val="none"/>
                <w:lang w:val="en-US" w:eastAsia="zh-CN"/>
              </w:rPr>
            </w:pPr>
          </w:p>
        </w:tc>
      </w:tr>
      <w:tr w14:paraId="451AB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1635" w:type="dxa"/>
            <w:vMerge w:val="restart"/>
            <w:tcBorders>
              <w:tl2br w:val="nil"/>
              <w:tr2bl w:val="nil"/>
            </w:tcBorders>
            <w:noWrap w:val="0"/>
            <w:vAlign w:val="center"/>
          </w:tcPr>
          <w:p w14:paraId="330BAF43">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地表</w:t>
            </w:r>
            <w:r>
              <w:rPr>
                <w:rFonts w:hint="default" w:ascii="Times New Roman" w:hAnsi="Times New Roman" w:eastAsia="宋体" w:cs="Times New Roman"/>
                <w:color w:val="auto"/>
                <w:szCs w:val="21"/>
                <w:highlight w:val="none"/>
                <w:lang w:val="en-US" w:eastAsia="zh-CN"/>
              </w:rPr>
              <w:t>水环境</w:t>
            </w:r>
          </w:p>
        </w:tc>
        <w:tc>
          <w:tcPr>
            <w:tcW w:w="7425" w:type="dxa"/>
            <w:gridSpan w:val="4"/>
            <w:tcBorders>
              <w:tl2br w:val="nil"/>
              <w:tr2bl w:val="nil"/>
            </w:tcBorders>
            <w:noWrap w:val="0"/>
            <w:vAlign w:val="center"/>
          </w:tcPr>
          <w:p w14:paraId="2D0ED17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生产废水</w:t>
            </w:r>
            <w:r>
              <w:rPr>
                <w:rFonts w:hint="eastAsia" w:cs="Times New Roman"/>
                <w:color w:val="auto"/>
                <w:szCs w:val="21"/>
                <w:highlight w:val="none"/>
                <w:lang w:val="en-US" w:eastAsia="zh-CN"/>
              </w:rPr>
              <w:t>经油水分离器处理后</w:t>
            </w:r>
            <w:r>
              <w:rPr>
                <w:rFonts w:hint="default" w:ascii="Times New Roman" w:hAnsi="Times New Roman" w:eastAsia="宋体" w:cs="Times New Roman"/>
                <w:color w:val="auto"/>
                <w:szCs w:val="21"/>
                <w:highlight w:val="none"/>
                <w:lang w:val="en-US" w:eastAsia="zh-CN"/>
              </w:rPr>
              <w:t>排入</w:t>
            </w:r>
            <w:r>
              <w:rPr>
                <w:rFonts w:hint="eastAsia" w:ascii="Times New Roman" w:hAnsi="Times New Roman" w:eastAsia="宋体" w:cs="Times New Roman"/>
                <w:color w:val="auto"/>
                <w:szCs w:val="21"/>
                <w:highlight w:val="none"/>
                <w:lang w:val="en-US" w:eastAsia="zh-CN"/>
              </w:rPr>
              <w:t>68团</w:t>
            </w:r>
            <w:r>
              <w:rPr>
                <w:rFonts w:hint="default" w:ascii="Times New Roman" w:hAnsi="Times New Roman" w:eastAsia="宋体" w:cs="Times New Roman"/>
                <w:color w:val="auto"/>
                <w:szCs w:val="21"/>
                <w:highlight w:val="none"/>
                <w:lang w:val="en-US" w:eastAsia="zh-CN"/>
              </w:rPr>
              <w:t>污水处理厂进行深度处理，尾水执行《城镇污水处理厂污染物排放标准》（GB18918-2002）一级</w:t>
            </w:r>
            <w:r>
              <w:rPr>
                <w:rFonts w:hint="eastAsia" w:ascii="Times New Roman" w:hAnsi="Times New Roman" w:eastAsia="宋体" w:cs="Times New Roman"/>
                <w:color w:val="auto"/>
                <w:szCs w:val="21"/>
                <w:highlight w:val="none"/>
                <w:lang w:val="en-US" w:eastAsia="zh-CN"/>
              </w:rPr>
              <w:t>A</w:t>
            </w:r>
            <w:r>
              <w:rPr>
                <w:rFonts w:hint="default" w:ascii="Times New Roman" w:hAnsi="Times New Roman" w:eastAsia="宋体" w:cs="Times New Roman"/>
                <w:color w:val="auto"/>
                <w:szCs w:val="21"/>
                <w:highlight w:val="none"/>
                <w:lang w:val="en-US" w:eastAsia="zh-CN"/>
              </w:rPr>
              <w:t>标准。</w:t>
            </w:r>
          </w:p>
        </w:tc>
      </w:tr>
      <w:tr w14:paraId="486C2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1635" w:type="dxa"/>
            <w:vMerge w:val="continue"/>
            <w:tcBorders>
              <w:tl2br w:val="nil"/>
              <w:tr2bl w:val="nil"/>
            </w:tcBorders>
            <w:noWrap w:val="0"/>
            <w:vAlign w:val="center"/>
          </w:tcPr>
          <w:p w14:paraId="370AE85C">
            <w:pPr>
              <w:adjustRightInd w:val="0"/>
              <w:snapToGrid w:val="0"/>
              <w:jc w:val="center"/>
              <w:rPr>
                <w:rFonts w:hint="default" w:ascii="Times New Roman" w:hAnsi="Times New Roman" w:eastAsia="宋体" w:cs="Times New Roman"/>
                <w:color w:val="auto"/>
                <w:szCs w:val="21"/>
                <w:highlight w:val="none"/>
                <w:lang w:val="en-US" w:eastAsia="zh-CN"/>
              </w:rPr>
            </w:pPr>
          </w:p>
        </w:tc>
        <w:tc>
          <w:tcPr>
            <w:tcW w:w="7425" w:type="dxa"/>
            <w:gridSpan w:val="4"/>
            <w:tcBorders>
              <w:tl2br w:val="nil"/>
              <w:tr2bl w:val="nil"/>
            </w:tcBorders>
            <w:noWrap w:val="0"/>
            <w:vAlign w:val="center"/>
          </w:tcPr>
          <w:p w14:paraId="33B6D72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w:t>
            </w:r>
            <w:r>
              <w:rPr>
                <w:rFonts w:hint="eastAsia" w:ascii="Times New Roman" w:hAnsi="Times New Roman" w:eastAsia="宋体" w:cs="Times New Roman"/>
                <w:color w:val="auto"/>
                <w:szCs w:val="21"/>
                <w:highlight w:val="none"/>
                <w:lang w:val="en-US" w:eastAsia="zh-CN"/>
              </w:rPr>
              <w:t>活</w:t>
            </w:r>
            <w:r>
              <w:rPr>
                <w:rFonts w:hint="default" w:ascii="Times New Roman" w:hAnsi="Times New Roman" w:eastAsia="宋体" w:cs="Times New Roman"/>
                <w:color w:val="auto"/>
                <w:szCs w:val="21"/>
                <w:highlight w:val="none"/>
                <w:lang w:val="en-US" w:eastAsia="zh-CN"/>
              </w:rPr>
              <w:t>废水排入</w:t>
            </w:r>
            <w:r>
              <w:rPr>
                <w:rFonts w:hint="eastAsia" w:ascii="Times New Roman" w:hAnsi="Times New Roman" w:eastAsia="宋体" w:cs="Times New Roman"/>
                <w:color w:val="auto"/>
                <w:szCs w:val="21"/>
                <w:highlight w:val="none"/>
                <w:lang w:val="en-US" w:eastAsia="zh-CN"/>
              </w:rPr>
              <w:t>68团</w:t>
            </w:r>
            <w:r>
              <w:rPr>
                <w:rFonts w:hint="default" w:ascii="Times New Roman" w:hAnsi="Times New Roman" w:eastAsia="宋体" w:cs="Times New Roman"/>
                <w:color w:val="auto"/>
                <w:szCs w:val="21"/>
                <w:highlight w:val="none"/>
                <w:lang w:val="en-US" w:eastAsia="zh-CN"/>
              </w:rPr>
              <w:t>污水处理厂进行深度处理，尾水执行《城镇污水处理厂污染物排放标准》（GB18918-2002）一级</w:t>
            </w:r>
            <w:r>
              <w:rPr>
                <w:rFonts w:hint="eastAsia" w:ascii="Times New Roman" w:hAnsi="Times New Roman" w:eastAsia="宋体" w:cs="Times New Roman"/>
                <w:color w:val="auto"/>
                <w:szCs w:val="21"/>
                <w:highlight w:val="none"/>
                <w:lang w:val="en-US" w:eastAsia="zh-CN"/>
              </w:rPr>
              <w:t>A</w:t>
            </w:r>
            <w:r>
              <w:rPr>
                <w:rFonts w:hint="default" w:ascii="Times New Roman" w:hAnsi="Times New Roman" w:eastAsia="宋体" w:cs="Times New Roman"/>
                <w:color w:val="auto"/>
                <w:szCs w:val="21"/>
                <w:highlight w:val="none"/>
                <w:lang w:val="en-US" w:eastAsia="zh-CN"/>
              </w:rPr>
              <w:t>标准</w:t>
            </w:r>
          </w:p>
        </w:tc>
      </w:tr>
      <w:tr w14:paraId="05B7D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635" w:type="dxa"/>
            <w:tcBorders>
              <w:tl2br w:val="nil"/>
              <w:tr2bl w:val="nil"/>
            </w:tcBorders>
            <w:noWrap w:val="0"/>
            <w:vAlign w:val="center"/>
          </w:tcPr>
          <w:p w14:paraId="1CF0D04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声环境</w:t>
            </w:r>
          </w:p>
        </w:tc>
        <w:tc>
          <w:tcPr>
            <w:tcW w:w="1685" w:type="dxa"/>
            <w:tcBorders>
              <w:tl2br w:val="nil"/>
              <w:tr2bl w:val="nil"/>
            </w:tcBorders>
            <w:noWrap w:val="0"/>
            <w:vAlign w:val="center"/>
          </w:tcPr>
          <w:p w14:paraId="61D33682">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设备噪声</w:t>
            </w:r>
          </w:p>
        </w:tc>
        <w:tc>
          <w:tcPr>
            <w:tcW w:w="1336" w:type="dxa"/>
            <w:tcBorders>
              <w:tl2br w:val="nil"/>
              <w:tr2bl w:val="nil"/>
            </w:tcBorders>
            <w:noWrap w:val="0"/>
            <w:vAlign w:val="center"/>
          </w:tcPr>
          <w:p w14:paraId="5829450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连续等效A声级</w:t>
            </w:r>
          </w:p>
        </w:tc>
        <w:tc>
          <w:tcPr>
            <w:tcW w:w="2255" w:type="dxa"/>
            <w:tcBorders>
              <w:tl2br w:val="nil"/>
              <w:tr2bl w:val="nil"/>
            </w:tcBorders>
            <w:noWrap w:val="0"/>
            <w:vAlign w:val="center"/>
          </w:tcPr>
          <w:p w14:paraId="513676A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隔声、减振</w:t>
            </w:r>
          </w:p>
        </w:tc>
        <w:tc>
          <w:tcPr>
            <w:tcW w:w="2149" w:type="dxa"/>
            <w:tcBorders>
              <w:tl2br w:val="nil"/>
              <w:tr2bl w:val="nil"/>
            </w:tcBorders>
            <w:noWrap w:val="0"/>
            <w:vAlign w:val="center"/>
          </w:tcPr>
          <w:p w14:paraId="7BBC9545">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《工业企业厂界环境噪声排放标准》</w:t>
            </w:r>
            <w:r>
              <w:rPr>
                <w:rFonts w:hint="default" w:ascii="Times New Roman" w:hAnsi="Times New Roman" w:eastAsia="宋体" w:cs="Times New Roman"/>
                <w:color w:val="auto"/>
                <w:highlight w:val="none"/>
                <w:lang w:val="en-US" w:eastAsia="zh-CN"/>
              </w:rPr>
              <w:t>（GB12348-2008）</w:t>
            </w:r>
            <w:r>
              <w:rPr>
                <w:rFonts w:hint="default" w:ascii="Times New Roman" w:hAnsi="Times New Roman" w:eastAsia="宋体" w:cs="Times New Roman"/>
                <w:color w:val="auto"/>
                <w:kern w:val="0"/>
                <w:sz w:val="21"/>
                <w:szCs w:val="21"/>
                <w:highlight w:val="none"/>
              </w:rPr>
              <w:t>中</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类标准</w:t>
            </w:r>
          </w:p>
        </w:tc>
      </w:tr>
      <w:tr w14:paraId="3C2ED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1635" w:type="dxa"/>
            <w:tcBorders>
              <w:tl2br w:val="nil"/>
              <w:tr2bl w:val="nil"/>
            </w:tcBorders>
            <w:noWrap w:val="0"/>
            <w:vAlign w:val="center"/>
          </w:tcPr>
          <w:p w14:paraId="1DF98030">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电磁辐射</w:t>
            </w:r>
          </w:p>
        </w:tc>
        <w:tc>
          <w:tcPr>
            <w:tcW w:w="1685" w:type="dxa"/>
            <w:tcBorders>
              <w:tl2br w:val="nil"/>
              <w:tr2bl w:val="nil"/>
            </w:tcBorders>
            <w:noWrap w:val="0"/>
            <w:vAlign w:val="center"/>
          </w:tcPr>
          <w:p w14:paraId="1D335688">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1336" w:type="dxa"/>
            <w:tcBorders>
              <w:tl2br w:val="nil"/>
              <w:tr2bl w:val="nil"/>
            </w:tcBorders>
            <w:noWrap w:val="0"/>
            <w:vAlign w:val="center"/>
          </w:tcPr>
          <w:p w14:paraId="6C5922F5">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c>
          <w:tcPr>
            <w:tcW w:w="2255" w:type="dxa"/>
            <w:tcBorders>
              <w:tl2br w:val="nil"/>
              <w:tr2bl w:val="nil"/>
            </w:tcBorders>
            <w:noWrap w:val="0"/>
            <w:vAlign w:val="center"/>
          </w:tcPr>
          <w:p w14:paraId="39738F1D">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 xml:space="preserve">/ </w:t>
            </w:r>
          </w:p>
        </w:tc>
        <w:tc>
          <w:tcPr>
            <w:tcW w:w="2149" w:type="dxa"/>
            <w:tcBorders>
              <w:tl2br w:val="nil"/>
              <w:tr2bl w:val="nil"/>
            </w:tcBorders>
            <w:noWrap w:val="0"/>
            <w:vAlign w:val="center"/>
          </w:tcPr>
          <w:p w14:paraId="15A10053">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14:paraId="45365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1" w:hRule="atLeast"/>
          <w:jc w:val="center"/>
        </w:trPr>
        <w:tc>
          <w:tcPr>
            <w:tcW w:w="1635" w:type="dxa"/>
            <w:tcBorders>
              <w:tl2br w:val="nil"/>
              <w:tr2bl w:val="nil"/>
            </w:tcBorders>
            <w:noWrap w:val="0"/>
            <w:vAlign w:val="center"/>
          </w:tcPr>
          <w:p w14:paraId="2CC59E4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7425" w:type="dxa"/>
            <w:gridSpan w:val="4"/>
            <w:tcBorders>
              <w:tl2br w:val="nil"/>
              <w:tr2bl w:val="nil"/>
            </w:tcBorders>
            <w:noWrap w:val="0"/>
            <w:vAlign w:val="center"/>
          </w:tcPr>
          <w:p w14:paraId="127AD291">
            <w:pPr>
              <w:adjustRightInd w:val="0"/>
              <w:snapToGrid w:val="0"/>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报废机动车拆解可将废钢铁、有色金属、塑料、轮胎等可再生利用废料分类回收，销售给其他再生资源回收加工厂做生产原料。主要出售给相关物资回收利用等单位回收利用。</w:t>
            </w:r>
          </w:p>
          <w:p w14:paraId="12AF191F">
            <w:pPr>
              <w:adjustRightInd w:val="0"/>
              <w:snapToGrid w:val="0"/>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拆解过程产生的皮制品、破碎玻璃、塑料等其他不可利用固体废物，由建设单位委托公司回收。</w:t>
            </w:r>
          </w:p>
          <w:p w14:paraId="08FABD2F">
            <w:pPr>
              <w:adjustRightInd w:val="0"/>
              <w:snapToGrid w:val="0"/>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r>
              <w:rPr>
                <w:rFonts w:hint="eastAsia" w:ascii="Times New Roman" w:hAnsi="Times New Roman" w:eastAsia="宋体" w:cs="Times New Roman"/>
                <w:color w:val="auto"/>
                <w:szCs w:val="21"/>
                <w:highlight w:val="none"/>
                <w:lang w:val="en-US" w:eastAsia="zh-CN"/>
              </w:rPr>
              <w:t>在</w:t>
            </w:r>
            <w:r>
              <w:rPr>
                <w:rFonts w:hint="default" w:ascii="Times New Roman" w:hAnsi="Times New Roman" w:eastAsia="宋体" w:cs="Times New Roman"/>
                <w:color w:val="auto"/>
                <w:szCs w:val="21"/>
                <w:highlight w:val="none"/>
              </w:rPr>
              <w:t>厂区设置垃圾箱集中收集，后委托环卫部门统一处置。</w:t>
            </w:r>
          </w:p>
          <w:p w14:paraId="5CD6C8BF">
            <w:pPr>
              <w:adjustRightInd w:val="0"/>
              <w:snapToGrid w:val="0"/>
              <w:spacing w:line="360"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szCs w:val="21"/>
                <w:highlight w:val="none"/>
              </w:rPr>
              <w:t>本项目产生危险废物均临时分类储存于危废储存间，需分类委托有资质危险废物处置机构进行处理。</w:t>
            </w:r>
          </w:p>
        </w:tc>
      </w:tr>
      <w:tr w14:paraId="67A8C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1635" w:type="dxa"/>
            <w:tcBorders>
              <w:tl2br w:val="nil"/>
              <w:tr2bl w:val="nil"/>
            </w:tcBorders>
            <w:noWrap w:val="0"/>
            <w:vAlign w:val="center"/>
          </w:tcPr>
          <w:p w14:paraId="2A643A40">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土壤及地下水</w:t>
            </w:r>
          </w:p>
          <w:p w14:paraId="4E20941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污染防治措施</w:t>
            </w:r>
          </w:p>
        </w:tc>
        <w:tc>
          <w:tcPr>
            <w:tcW w:w="7425" w:type="dxa"/>
            <w:gridSpan w:val="4"/>
            <w:tcBorders>
              <w:tl2br w:val="nil"/>
              <w:tr2bl w:val="nil"/>
            </w:tcBorders>
            <w:noWrap w:val="0"/>
            <w:vAlign w:val="center"/>
          </w:tcPr>
          <w:p w14:paraId="6700218F">
            <w:pPr>
              <w:adjustRightInd w:val="0"/>
              <w:snapToGrid w:val="0"/>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①源头控制：从污染物源头控制排放量，采用高效的污染防治措施，并确保污染治理设施正常运行，出现故障后立刻停工维修；在物料输送和贮存过程中，加强跑冒滴漏管理，降低物质泄漏和污染土壤环境隐患。</w:t>
            </w:r>
          </w:p>
          <w:p w14:paraId="10AB5A89">
            <w:pPr>
              <w:adjustRightInd w:val="0"/>
              <w:snapToGrid w:val="0"/>
              <w:spacing w:line="360" w:lineRule="auto"/>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②过程防控措施：建设项目根据行业特点与占地范围内的土壤特性，按照相关技术要求采取过程阻断、污染物削减和分区防控措施。占地范围内应采取 绿化措施，以种植具有较强吸附能力的植物为主；厂区内除绿化部分外应进 行地面硬化，厂区四周修建围墙。</w:t>
            </w:r>
          </w:p>
          <w:p w14:paraId="15A7B851">
            <w:pPr>
              <w:adjustRightInd w:val="0"/>
              <w:snapToGrid w:val="0"/>
              <w:spacing w:line="360" w:lineRule="auto"/>
              <w:jc w:val="both"/>
              <w:rPr>
                <w:rFonts w:hint="eastAsia" w:cs="Times New Roman"/>
                <w:color w:val="auto"/>
                <w:szCs w:val="21"/>
                <w:highlight w:val="none"/>
                <w:lang w:eastAsia="zh-CN"/>
              </w:rPr>
            </w:pPr>
            <w:r>
              <w:rPr>
                <w:rFonts w:hint="default" w:ascii="Times New Roman" w:hAnsi="Times New Roman" w:eastAsia="宋体" w:cs="Times New Roman"/>
                <w:color w:val="auto"/>
                <w:szCs w:val="21"/>
                <w:highlight w:val="none"/>
              </w:rPr>
              <w:t>③危废暂存间视为重点防渗区，按要求进行防腐防渗措施</w:t>
            </w:r>
            <w:r>
              <w:rPr>
                <w:rFonts w:hint="eastAsia" w:cs="Times New Roman"/>
                <w:color w:val="auto"/>
                <w:szCs w:val="21"/>
                <w:highlight w:val="none"/>
                <w:lang w:eastAsia="zh-CN"/>
              </w:rPr>
              <w:t>，四周设有裙角，危险废物独立容器盛装并分区暂存。危废暂存间防渗层为至少1m厚粘土层(渗透系数≤10</w:t>
            </w:r>
            <w:r>
              <w:rPr>
                <w:rFonts w:hint="eastAsia" w:cs="Times New Roman"/>
                <w:color w:val="auto"/>
                <w:szCs w:val="21"/>
                <w:highlight w:val="none"/>
                <w:vertAlign w:val="superscript"/>
                <w:lang w:val="en-US" w:eastAsia="zh-CN"/>
              </w:rPr>
              <w:t>-7</w:t>
            </w:r>
            <w:r>
              <w:rPr>
                <w:rFonts w:hint="eastAsia" w:cs="Times New Roman"/>
                <w:color w:val="auto"/>
                <w:szCs w:val="21"/>
                <w:highlight w:val="none"/>
                <w:vertAlign w:val="baseline"/>
                <w:lang w:val="en-US" w:eastAsia="zh-CN"/>
              </w:rPr>
              <w:t>c</w:t>
            </w:r>
            <w:r>
              <w:rPr>
                <w:rFonts w:hint="eastAsia" w:cs="Times New Roman"/>
                <w:color w:val="auto"/>
                <w:szCs w:val="21"/>
                <w:highlight w:val="none"/>
                <w:lang w:eastAsia="zh-CN"/>
              </w:rPr>
              <w:t>m/s)，或2mm厚高密度聚乙烯，或至少2mm厚其他人工材料，渗透系数≤10</w:t>
            </w:r>
            <w:r>
              <w:rPr>
                <w:rFonts w:hint="eastAsia" w:cs="Times New Roman"/>
                <w:color w:val="auto"/>
                <w:szCs w:val="21"/>
                <w:highlight w:val="none"/>
                <w:vertAlign w:val="superscript"/>
                <w:lang w:val="en-US" w:eastAsia="zh-CN"/>
              </w:rPr>
              <w:t>-10</w:t>
            </w:r>
            <w:r>
              <w:rPr>
                <w:rFonts w:hint="eastAsia" w:cs="Times New Roman"/>
                <w:color w:val="auto"/>
                <w:szCs w:val="21"/>
                <w:highlight w:val="none"/>
                <w:lang w:eastAsia="zh-CN"/>
              </w:rPr>
              <w:t>cm/s。</w:t>
            </w:r>
            <w:r>
              <w:rPr>
                <w:rFonts w:hint="default" w:ascii="Times New Roman" w:hAnsi="Times New Roman" w:eastAsia="宋体" w:cs="Times New Roman"/>
                <w:color w:val="auto"/>
                <w:szCs w:val="21"/>
                <w:highlight w:val="none"/>
              </w:rPr>
              <w:t>危险废物定期委托资质单位上门清运回收</w:t>
            </w:r>
            <w:r>
              <w:rPr>
                <w:rFonts w:hint="eastAsia" w:cs="Times New Roman"/>
                <w:color w:val="auto"/>
                <w:szCs w:val="21"/>
                <w:highlight w:val="none"/>
                <w:lang w:eastAsia="zh-CN"/>
              </w:rPr>
              <w:t>。</w:t>
            </w:r>
          </w:p>
          <w:p w14:paraId="3F19C7A5">
            <w:pPr>
              <w:adjustRightInd w:val="0"/>
              <w:snapToGrid w:val="0"/>
              <w:spacing w:line="360" w:lineRule="auto"/>
              <w:jc w:val="both"/>
              <w:rPr>
                <w:rFonts w:hint="eastAsia"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④</w:t>
            </w:r>
            <w:r>
              <w:rPr>
                <w:rFonts w:hint="eastAsia" w:cs="Times New Roman"/>
                <w:color w:val="auto"/>
                <w:szCs w:val="21"/>
                <w:highlight w:val="none"/>
                <w:lang w:val="en-US" w:eastAsia="zh-CN"/>
              </w:rPr>
              <w:t>拆解过程中如发现破损的铅蓄电池，不得随意倾倒电池内容物，应当及时使用容器将其放入危废暂存间内。</w:t>
            </w:r>
          </w:p>
          <w:p w14:paraId="63C09339">
            <w:pPr>
              <w:adjustRightInd w:val="0"/>
              <w:snapToGrid w:val="0"/>
              <w:spacing w:line="360" w:lineRule="auto"/>
              <w:jc w:val="both"/>
              <w:rPr>
                <w:rFonts w:hint="default"/>
                <w:lang w:val="en-US" w:eastAsia="zh-CN"/>
              </w:rPr>
            </w:pPr>
            <w:r>
              <w:rPr>
                <w:rFonts w:hint="default" w:cs="Times New Roman"/>
                <w:color w:val="auto"/>
                <w:szCs w:val="21"/>
                <w:highlight w:val="none"/>
                <w:lang w:val="en-US" w:eastAsia="zh-CN"/>
              </w:rPr>
              <w:t>⑤</w:t>
            </w:r>
            <w:r>
              <w:rPr>
                <w:rFonts w:hint="eastAsia" w:cs="Times New Roman"/>
                <w:color w:val="auto"/>
                <w:szCs w:val="21"/>
                <w:highlight w:val="none"/>
                <w:lang w:val="en-US" w:eastAsia="zh-CN"/>
              </w:rPr>
              <w:t>拆解过程中应将机动车油箱内的燃料，分类收集，分类储存。</w:t>
            </w:r>
          </w:p>
        </w:tc>
      </w:tr>
      <w:tr w14:paraId="341FF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9" w:hRule="atLeast"/>
          <w:jc w:val="center"/>
        </w:trPr>
        <w:tc>
          <w:tcPr>
            <w:tcW w:w="1635" w:type="dxa"/>
            <w:tcBorders>
              <w:tl2br w:val="nil"/>
              <w:tr2bl w:val="nil"/>
            </w:tcBorders>
            <w:noWrap w:val="0"/>
            <w:vAlign w:val="center"/>
          </w:tcPr>
          <w:p w14:paraId="5B08D7F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生态保护措施</w:t>
            </w:r>
          </w:p>
        </w:tc>
        <w:tc>
          <w:tcPr>
            <w:tcW w:w="7425" w:type="dxa"/>
            <w:gridSpan w:val="4"/>
            <w:tcBorders>
              <w:tl2br w:val="nil"/>
              <w:tr2bl w:val="nil"/>
            </w:tcBorders>
            <w:noWrap w:val="0"/>
            <w:vAlign w:val="center"/>
          </w:tcPr>
          <w:p w14:paraId="40C4EEA6">
            <w:pPr>
              <w:adjustRightInd w:val="0"/>
              <w:snapToGrid w:val="0"/>
              <w:spacing w:line="360" w:lineRule="auto"/>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经现场调查，本项目厂区内进行了人工绿化，不会对区域生态环境产生明显影响。</w:t>
            </w:r>
          </w:p>
        </w:tc>
      </w:tr>
      <w:tr w14:paraId="18FB3E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35" w:type="dxa"/>
            <w:tcBorders>
              <w:tl2br w:val="nil"/>
              <w:tr2bl w:val="nil"/>
            </w:tcBorders>
            <w:noWrap w:val="0"/>
            <w:vAlign w:val="center"/>
          </w:tcPr>
          <w:p w14:paraId="5F03B599">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环境风险</w:t>
            </w:r>
          </w:p>
          <w:p w14:paraId="256DD4A2">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防范措施</w:t>
            </w:r>
          </w:p>
        </w:tc>
        <w:tc>
          <w:tcPr>
            <w:tcW w:w="7425" w:type="dxa"/>
            <w:gridSpan w:val="4"/>
            <w:tcBorders>
              <w:tl2br w:val="nil"/>
              <w:tr2bl w:val="nil"/>
            </w:tcBorders>
            <w:noWrap w:val="0"/>
            <w:vAlign w:val="center"/>
          </w:tcPr>
          <w:p w14:paraId="2BC84E37">
            <w:pPr>
              <w:adjustRightInd w:val="0"/>
              <w:snapToGrid w:val="0"/>
              <w:spacing w:line="36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1"/>
                <w:szCs w:val="21"/>
              </w:rPr>
              <w:t>对仓库内储存的化学品定期进行检查，检查中发现变质、包装破损、渗漏等问题应及时采取应急措施解决，化学品仓库内设置可燃气体报警器。存放区域地面及裙角已做耐腐蚀硬化、防渗漏处理。应急资源要重点做好堵漏工具、泄漏物料处理工具、火灾消防器材的配备及维保，个人应急防护及应急通信设备的维护。</w:t>
            </w:r>
          </w:p>
        </w:tc>
      </w:tr>
      <w:tr w14:paraId="0CBE6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92" w:hRule="atLeast"/>
          <w:jc w:val="center"/>
        </w:trPr>
        <w:tc>
          <w:tcPr>
            <w:tcW w:w="1635" w:type="dxa"/>
            <w:tcBorders>
              <w:tl2br w:val="nil"/>
              <w:tr2bl w:val="nil"/>
            </w:tcBorders>
            <w:noWrap w:val="0"/>
            <w:vAlign w:val="center"/>
          </w:tcPr>
          <w:p w14:paraId="68F8DB0F">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其他环境</w:t>
            </w:r>
          </w:p>
          <w:p w14:paraId="1028A9E0">
            <w:pPr>
              <w:adjustRightInd w:val="0"/>
              <w:snapToGrid w:val="0"/>
              <w:jc w:val="center"/>
              <w:rPr>
                <w:rFonts w:hint="default" w:ascii="Times New Roman" w:hAnsi="Times New Roman" w:eastAsia="宋体" w:cs="Times New Roman"/>
                <w:color w:val="auto"/>
                <w:spacing w:val="-8"/>
                <w:szCs w:val="21"/>
                <w:highlight w:val="none"/>
              </w:rPr>
            </w:pPr>
            <w:r>
              <w:rPr>
                <w:rFonts w:hint="default" w:ascii="Times New Roman" w:hAnsi="Times New Roman" w:eastAsia="宋体" w:cs="Times New Roman"/>
                <w:color w:val="auto"/>
                <w:spacing w:val="-8"/>
                <w:szCs w:val="21"/>
                <w:highlight w:val="none"/>
              </w:rPr>
              <w:t>管理要求</w:t>
            </w:r>
          </w:p>
        </w:tc>
        <w:tc>
          <w:tcPr>
            <w:tcW w:w="7425" w:type="dxa"/>
            <w:gridSpan w:val="4"/>
            <w:tcBorders>
              <w:tl2br w:val="nil"/>
              <w:tr2bl w:val="nil"/>
            </w:tcBorders>
            <w:noWrap w:val="0"/>
            <w:vAlign w:val="center"/>
          </w:tcPr>
          <w:p w14:paraId="3FFC7FBA">
            <w:pPr>
              <w:adjustRightInd w:val="0"/>
              <w:snapToGrid w:val="0"/>
              <w:spacing w:line="360" w:lineRule="auto"/>
              <w:ind w:firstLine="390"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b/>
                <w:bCs/>
                <w:color w:val="auto"/>
                <w:spacing w:val="-8"/>
                <w:szCs w:val="21"/>
                <w:highlight w:val="none"/>
                <w:lang w:val="en-US" w:eastAsia="zh-CN"/>
              </w:rPr>
              <w:t>1、排污口规范化</w:t>
            </w:r>
          </w:p>
          <w:p w14:paraId="3B675902">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各污染源排放设置标牌，图标按国家标准要求设置。各排污口（源）提示标志形状采用正方形边框，背景颜色为深绿，图形为白色，标志牌应贴于醒目处，并保持清晰、完整。</w:t>
            </w:r>
          </w:p>
          <w:p w14:paraId="154FF1FB">
            <w:pPr>
              <w:ind w:firstLine="0" w:firstLineChars="0"/>
              <w:jc w:val="center"/>
              <w:rPr>
                <w:rFonts w:ascii="Times New Roman" w:hAnsi="Times New Roman" w:eastAsia="宋体" w:cs="Times New Roman"/>
                <w:b/>
                <w:bCs/>
                <w:color w:val="auto"/>
              </w:rPr>
            </w:pPr>
            <w:r>
              <w:rPr>
                <w:rFonts w:ascii="Times New Roman" w:hAnsi="Times New Roman" w:eastAsia="宋体" w:cs="Times New Roman"/>
                <w:b/>
                <w:bCs/>
                <w:color w:val="auto"/>
                <w:lang w:val="zh-CN"/>
              </w:rPr>
              <w:t>表</w:t>
            </w:r>
            <w:r>
              <w:rPr>
                <w:rFonts w:hint="eastAsia" w:cs="Times New Roman"/>
                <w:b/>
                <w:bCs/>
                <w:color w:val="auto"/>
                <w:lang w:val="en-US" w:eastAsia="zh-CN"/>
              </w:rPr>
              <w:t>5-1</w:t>
            </w:r>
            <w:r>
              <w:rPr>
                <w:rFonts w:ascii="Times New Roman" w:hAnsi="Times New Roman" w:eastAsia="宋体" w:cs="Times New Roman"/>
                <w:b/>
                <w:bCs/>
                <w:color w:val="auto"/>
                <w:lang w:val="zh-CN"/>
              </w:rPr>
              <w:t xml:space="preserve">      环境保护图形标志具体设置图形</w:t>
            </w:r>
            <w:r>
              <w:rPr>
                <w:rFonts w:ascii="Times New Roman" w:hAnsi="Times New Roman" w:eastAsia="宋体" w:cs="Times New Roman"/>
                <w:b/>
                <w:bCs/>
                <w:color w:val="auto"/>
              </w:rPr>
              <w:t>表</w:t>
            </w:r>
          </w:p>
          <w:tbl>
            <w:tblPr>
              <w:tblStyle w:val="28"/>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30"/>
              <w:gridCol w:w="2027"/>
              <w:gridCol w:w="2040"/>
              <w:gridCol w:w="1217"/>
              <w:gridCol w:w="1191"/>
            </w:tblGrid>
            <w:tr w14:paraId="330DE2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06" w:type="pct"/>
                  <w:tcBorders>
                    <w:tl2br w:val="nil"/>
                    <w:tr2bl w:val="nil"/>
                  </w:tcBorders>
                  <w:shd w:val="clear" w:color="auto" w:fill="auto"/>
                  <w:vAlign w:val="center"/>
                </w:tcPr>
                <w:p w14:paraId="06DC89B5">
                  <w:pPr>
                    <w:pStyle w:val="67"/>
                    <w:rPr>
                      <w:rFonts w:ascii="Times New Roman" w:hAnsi="Times New Roman"/>
                      <w:color w:val="auto"/>
                    </w:rPr>
                  </w:pPr>
                  <w:r>
                    <w:rPr>
                      <w:rFonts w:ascii="Times New Roman" w:hAnsi="Times New Roman"/>
                      <w:color w:val="auto"/>
                    </w:rPr>
                    <w:t>序号</w:t>
                  </w:r>
                </w:p>
              </w:tc>
              <w:tc>
                <w:tcPr>
                  <w:tcW w:w="1406" w:type="pct"/>
                  <w:tcBorders>
                    <w:tl2br w:val="nil"/>
                    <w:tr2bl w:val="nil"/>
                  </w:tcBorders>
                  <w:shd w:val="clear" w:color="auto" w:fill="auto"/>
                  <w:vAlign w:val="center"/>
                </w:tcPr>
                <w:p w14:paraId="2AC2DA4B">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提示图形符号</w:t>
                  </w:r>
                </w:p>
              </w:tc>
              <w:tc>
                <w:tcPr>
                  <w:tcW w:w="1415" w:type="pct"/>
                  <w:tcBorders>
                    <w:tl2br w:val="nil"/>
                    <w:tr2bl w:val="nil"/>
                  </w:tcBorders>
                  <w:shd w:val="clear" w:color="auto" w:fill="auto"/>
                  <w:vAlign w:val="center"/>
                </w:tcPr>
                <w:p w14:paraId="4774E545">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警告图形符合</w:t>
                  </w:r>
                </w:p>
              </w:tc>
              <w:tc>
                <w:tcPr>
                  <w:tcW w:w="844" w:type="pct"/>
                  <w:tcBorders>
                    <w:tl2br w:val="nil"/>
                    <w:tr2bl w:val="nil"/>
                  </w:tcBorders>
                  <w:shd w:val="clear" w:color="auto" w:fill="auto"/>
                  <w:vAlign w:val="center"/>
                </w:tcPr>
                <w:p w14:paraId="081767E9">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名称</w:t>
                  </w:r>
                </w:p>
              </w:tc>
              <w:tc>
                <w:tcPr>
                  <w:tcW w:w="826" w:type="pct"/>
                  <w:tcBorders>
                    <w:tl2br w:val="nil"/>
                    <w:tr2bl w:val="nil"/>
                  </w:tcBorders>
                  <w:shd w:val="clear" w:color="auto" w:fill="auto"/>
                  <w:vAlign w:val="center"/>
                </w:tcPr>
                <w:p w14:paraId="3D0E98DE">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功能</w:t>
                  </w:r>
                </w:p>
              </w:tc>
            </w:tr>
            <w:tr w14:paraId="7C6784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06" w:type="pct"/>
                  <w:tcBorders>
                    <w:tl2br w:val="nil"/>
                    <w:tr2bl w:val="nil"/>
                  </w:tcBorders>
                  <w:shd w:val="clear" w:color="auto" w:fill="auto"/>
                  <w:vAlign w:val="center"/>
                </w:tcPr>
                <w:p w14:paraId="1DC93B2D">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1</w:t>
                  </w:r>
                </w:p>
              </w:tc>
              <w:tc>
                <w:tcPr>
                  <w:tcW w:w="1406" w:type="pct"/>
                  <w:tcBorders>
                    <w:tl2br w:val="nil"/>
                    <w:tr2bl w:val="nil"/>
                  </w:tcBorders>
                  <w:shd w:val="clear" w:color="auto" w:fill="auto"/>
                  <w:vAlign w:val="center"/>
                </w:tcPr>
                <w:p w14:paraId="0DA7AA92">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802005" cy="802005"/>
                        <wp:effectExtent l="0" t="0" r="17145"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02005" cy="802005"/>
                                </a:xfrm>
                                <a:prstGeom prst="rect">
                                  <a:avLst/>
                                </a:prstGeom>
                                <a:noFill/>
                                <a:ln>
                                  <a:noFill/>
                                </a:ln>
                              </pic:spPr>
                            </pic:pic>
                          </a:graphicData>
                        </a:graphic>
                      </wp:inline>
                    </w:drawing>
                  </w:r>
                </w:p>
              </w:tc>
              <w:tc>
                <w:tcPr>
                  <w:tcW w:w="1415" w:type="pct"/>
                  <w:tcBorders>
                    <w:tl2br w:val="nil"/>
                    <w:tr2bl w:val="nil"/>
                  </w:tcBorders>
                  <w:shd w:val="clear" w:color="auto" w:fill="auto"/>
                  <w:vAlign w:val="center"/>
                </w:tcPr>
                <w:p w14:paraId="4C147AB7">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931545" cy="828040"/>
                        <wp:effectExtent l="0" t="0" r="190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31545" cy="828040"/>
                                </a:xfrm>
                                <a:prstGeom prst="rect">
                                  <a:avLst/>
                                </a:prstGeom>
                                <a:noFill/>
                                <a:ln>
                                  <a:noFill/>
                                </a:ln>
                              </pic:spPr>
                            </pic:pic>
                          </a:graphicData>
                        </a:graphic>
                      </wp:inline>
                    </w:drawing>
                  </w:r>
                </w:p>
              </w:tc>
              <w:tc>
                <w:tcPr>
                  <w:tcW w:w="844" w:type="pct"/>
                  <w:tcBorders>
                    <w:tl2br w:val="nil"/>
                    <w:tr2bl w:val="nil"/>
                  </w:tcBorders>
                  <w:shd w:val="clear" w:color="auto" w:fill="auto"/>
                  <w:vAlign w:val="center"/>
                </w:tcPr>
                <w:p w14:paraId="5A379CEC">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废气排放口</w:t>
                  </w:r>
                </w:p>
              </w:tc>
              <w:tc>
                <w:tcPr>
                  <w:tcW w:w="826" w:type="pct"/>
                  <w:tcBorders>
                    <w:tl2br w:val="nil"/>
                    <w:tr2bl w:val="nil"/>
                  </w:tcBorders>
                  <w:shd w:val="clear" w:color="auto" w:fill="auto"/>
                  <w:vAlign w:val="center"/>
                </w:tcPr>
                <w:p w14:paraId="5CD47031">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表示废气向大气环境排放</w:t>
                  </w:r>
                </w:p>
              </w:tc>
            </w:tr>
            <w:tr w14:paraId="78FF0BC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06" w:type="pct"/>
                  <w:tcBorders>
                    <w:tl2br w:val="nil"/>
                    <w:tr2bl w:val="nil"/>
                  </w:tcBorders>
                  <w:shd w:val="clear" w:color="auto" w:fill="auto"/>
                  <w:vAlign w:val="center"/>
                </w:tcPr>
                <w:p w14:paraId="1F1DA12B">
                  <w:pPr>
                    <w:pStyle w:val="69"/>
                    <w:autoSpaceDE w:val="0"/>
                    <w:autoSpaceDN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w:t>
                  </w:r>
                </w:p>
              </w:tc>
              <w:tc>
                <w:tcPr>
                  <w:tcW w:w="1406" w:type="pct"/>
                  <w:tcBorders>
                    <w:tl2br w:val="nil"/>
                    <w:tr2bl w:val="nil"/>
                  </w:tcBorders>
                  <w:shd w:val="clear" w:color="auto" w:fill="auto"/>
                  <w:vAlign w:val="center"/>
                </w:tcPr>
                <w:p w14:paraId="010A098D">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750570" cy="75057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50570" cy="750570"/>
                                </a:xfrm>
                                <a:prstGeom prst="rect">
                                  <a:avLst/>
                                </a:prstGeom>
                                <a:noFill/>
                                <a:ln>
                                  <a:noFill/>
                                </a:ln>
                              </pic:spPr>
                            </pic:pic>
                          </a:graphicData>
                        </a:graphic>
                      </wp:inline>
                    </w:drawing>
                  </w:r>
                </w:p>
              </w:tc>
              <w:tc>
                <w:tcPr>
                  <w:tcW w:w="1415" w:type="pct"/>
                  <w:tcBorders>
                    <w:tl2br w:val="nil"/>
                    <w:tr2bl w:val="nil"/>
                  </w:tcBorders>
                  <w:shd w:val="clear" w:color="auto" w:fill="auto"/>
                  <w:vAlign w:val="center"/>
                </w:tcPr>
                <w:p w14:paraId="67887854">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1017905" cy="741680"/>
                        <wp:effectExtent l="0" t="0" r="1079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17905" cy="741680"/>
                                </a:xfrm>
                                <a:prstGeom prst="rect">
                                  <a:avLst/>
                                </a:prstGeom>
                                <a:noFill/>
                                <a:ln>
                                  <a:noFill/>
                                </a:ln>
                              </pic:spPr>
                            </pic:pic>
                          </a:graphicData>
                        </a:graphic>
                      </wp:inline>
                    </w:drawing>
                  </w:r>
                </w:p>
              </w:tc>
              <w:tc>
                <w:tcPr>
                  <w:tcW w:w="844" w:type="pct"/>
                  <w:tcBorders>
                    <w:tl2br w:val="nil"/>
                    <w:tr2bl w:val="nil"/>
                  </w:tcBorders>
                  <w:shd w:val="clear" w:color="auto" w:fill="auto"/>
                  <w:vAlign w:val="center"/>
                </w:tcPr>
                <w:p w14:paraId="3B1EAD09">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噪声排放源</w:t>
                  </w:r>
                </w:p>
              </w:tc>
              <w:tc>
                <w:tcPr>
                  <w:tcW w:w="826" w:type="pct"/>
                  <w:tcBorders>
                    <w:tl2br w:val="nil"/>
                    <w:tr2bl w:val="nil"/>
                  </w:tcBorders>
                  <w:shd w:val="clear" w:color="auto" w:fill="auto"/>
                  <w:vAlign w:val="center"/>
                </w:tcPr>
                <w:p w14:paraId="565B55E6">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表示噪声向外环境排放</w:t>
                  </w:r>
                </w:p>
              </w:tc>
            </w:tr>
            <w:tr w14:paraId="2C8724F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06" w:type="pct"/>
                  <w:tcBorders>
                    <w:tl2br w:val="nil"/>
                    <w:tr2bl w:val="nil"/>
                  </w:tcBorders>
                  <w:shd w:val="clear" w:color="auto" w:fill="auto"/>
                  <w:vAlign w:val="center"/>
                </w:tcPr>
                <w:p w14:paraId="0E4B86CF">
                  <w:pPr>
                    <w:pStyle w:val="69"/>
                    <w:autoSpaceDE w:val="0"/>
                    <w:autoSpaceDN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3</w:t>
                  </w:r>
                </w:p>
              </w:tc>
              <w:tc>
                <w:tcPr>
                  <w:tcW w:w="1406" w:type="pct"/>
                  <w:tcBorders>
                    <w:tl2br w:val="nil"/>
                    <w:tr2bl w:val="nil"/>
                  </w:tcBorders>
                  <w:shd w:val="clear" w:color="auto" w:fill="auto"/>
                  <w:vAlign w:val="center"/>
                </w:tcPr>
                <w:p w14:paraId="2A1B17FE">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828040" cy="82804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28040" cy="828040"/>
                                </a:xfrm>
                                <a:prstGeom prst="rect">
                                  <a:avLst/>
                                </a:prstGeom>
                                <a:noFill/>
                                <a:ln>
                                  <a:noFill/>
                                </a:ln>
                              </pic:spPr>
                            </pic:pic>
                          </a:graphicData>
                        </a:graphic>
                      </wp:inline>
                    </w:drawing>
                  </w:r>
                </w:p>
              </w:tc>
              <w:tc>
                <w:tcPr>
                  <w:tcW w:w="1415" w:type="pct"/>
                  <w:tcBorders>
                    <w:tl2br w:val="nil"/>
                    <w:tr2bl w:val="nil"/>
                  </w:tcBorders>
                  <w:shd w:val="clear" w:color="auto" w:fill="auto"/>
                  <w:vAlign w:val="center"/>
                </w:tcPr>
                <w:p w14:paraId="252D0C74">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966470" cy="862330"/>
                        <wp:effectExtent l="0" t="0" r="508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66470" cy="862330"/>
                                </a:xfrm>
                                <a:prstGeom prst="rect">
                                  <a:avLst/>
                                </a:prstGeom>
                                <a:noFill/>
                                <a:ln>
                                  <a:noFill/>
                                </a:ln>
                              </pic:spPr>
                            </pic:pic>
                          </a:graphicData>
                        </a:graphic>
                      </wp:inline>
                    </w:drawing>
                  </w:r>
                </w:p>
              </w:tc>
              <w:tc>
                <w:tcPr>
                  <w:tcW w:w="844" w:type="pct"/>
                  <w:tcBorders>
                    <w:tl2br w:val="nil"/>
                    <w:tr2bl w:val="nil"/>
                  </w:tcBorders>
                  <w:shd w:val="clear" w:color="auto" w:fill="auto"/>
                  <w:vAlign w:val="center"/>
                </w:tcPr>
                <w:p w14:paraId="13F0CAD5">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一般固体废物</w:t>
                  </w:r>
                </w:p>
              </w:tc>
              <w:tc>
                <w:tcPr>
                  <w:tcW w:w="826" w:type="pct"/>
                  <w:tcBorders>
                    <w:tl2br w:val="nil"/>
                    <w:tr2bl w:val="nil"/>
                  </w:tcBorders>
                  <w:shd w:val="clear" w:color="auto" w:fill="auto"/>
                  <w:vAlign w:val="center"/>
                </w:tcPr>
                <w:p w14:paraId="005C25AB">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表示一般固体废物贮存、处置场</w:t>
                  </w:r>
                </w:p>
              </w:tc>
            </w:tr>
            <w:tr w14:paraId="2017EA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506" w:type="pct"/>
                  <w:tcBorders>
                    <w:tl2br w:val="nil"/>
                    <w:tr2bl w:val="nil"/>
                  </w:tcBorders>
                  <w:shd w:val="clear" w:color="auto" w:fill="auto"/>
                  <w:vAlign w:val="center"/>
                </w:tcPr>
                <w:p w14:paraId="68E81465">
                  <w:pPr>
                    <w:pStyle w:val="69"/>
                    <w:autoSpaceDE w:val="0"/>
                    <w:autoSpaceDN w:val="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4</w:t>
                  </w:r>
                </w:p>
              </w:tc>
              <w:tc>
                <w:tcPr>
                  <w:tcW w:w="1406" w:type="pct"/>
                  <w:tcBorders>
                    <w:tl2br w:val="nil"/>
                    <w:tr2bl w:val="nil"/>
                  </w:tcBorders>
                  <w:shd w:val="clear" w:color="auto" w:fill="auto"/>
                  <w:vAlign w:val="center"/>
                </w:tcPr>
                <w:p w14:paraId="1638D082">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w:t>
                  </w:r>
                </w:p>
              </w:tc>
              <w:tc>
                <w:tcPr>
                  <w:tcW w:w="1415" w:type="pct"/>
                  <w:tcBorders>
                    <w:tl2br w:val="nil"/>
                    <w:tr2bl w:val="nil"/>
                  </w:tcBorders>
                  <w:shd w:val="clear" w:color="auto" w:fill="auto"/>
                  <w:vAlign w:val="center"/>
                </w:tcPr>
                <w:p w14:paraId="4960C6AA">
                  <w:pPr>
                    <w:pStyle w:val="69"/>
                    <w:autoSpaceDE w:val="0"/>
                    <w:autoSpaceDN w:val="0"/>
                    <w:rPr>
                      <w:rFonts w:ascii="Times New Roman" w:hAnsi="Times New Roman" w:cs="Times New Roman"/>
                      <w:color w:val="auto"/>
                      <w:lang w:val="zh-CN"/>
                    </w:rPr>
                  </w:pPr>
                  <w:r>
                    <w:rPr>
                      <w:rFonts w:ascii="Times New Roman" w:hAnsi="Times New Roman" w:cs="Times New Roman"/>
                      <w:color w:val="auto"/>
                    </w:rPr>
                    <w:drawing>
                      <wp:inline distT="0" distB="0" distL="0" distR="0">
                        <wp:extent cx="915035" cy="818515"/>
                        <wp:effectExtent l="0" t="0" r="1841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15035" cy="818515"/>
                                </a:xfrm>
                                <a:prstGeom prst="rect">
                                  <a:avLst/>
                                </a:prstGeom>
                                <a:noFill/>
                                <a:ln>
                                  <a:noFill/>
                                </a:ln>
                              </pic:spPr>
                            </pic:pic>
                          </a:graphicData>
                        </a:graphic>
                      </wp:inline>
                    </w:drawing>
                  </w:r>
                </w:p>
              </w:tc>
              <w:tc>
                <w:tcPr>
                  <w:tcW w:w="844" w:type="pct"/>
                  <w:tcBorders>
                    <w:tl2br w:val="nil"/>
                    <w:tr2bl w:val="nil"/>
                  </w:tcBorders>
                  <w:shd w:val="clear" w:color="auto" w:fill="auto"/>
                  <w:vAlign w:val="center"/>
                </w:tcPr>
                <w:p w14:paraId="4E2EB73E">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危险废物</w:t>
                  </w:r>
                </w:p>
              </w:tc>
              <w:tc>
                <w:tcPr>
                  <w:tcW w:w="826" w:type="pct"/>
                  <w:tcBorders>
                    <w:tl2br w:val="nil"/>
                    <w:tr2bl w:val="nil"/>
                  </w:tcBorders>
                  <w:shd w:val="clear" w:color="auto" w:fill="auto"/>
                  <w:vAlign w:val="center"/>
                </w:tcPr>
                <w:p w14:paraId="71E4C1B8">
                  <w:pPr>
                    <w:pStyle w:val="69"/>
                    <w:autoSpaceDE w:val="0"/>
                    <w:autoSpaceDN w:val="0"/>
                    <w:rPr>
                      <w:rFonts w:ascii="Times New Roman" w:hAnsi="Times New Roman" w:cs="Times New Roman"/>
                      <w:color w:val="auto"/>
                      <w:lang w:val="zh-CN"/>
                    </w:rPr>
                  </w:pPr>
                  <w:r>
                    <w:rPr>
                      <w:rFonts w:ascii="Times New Roman" w:hAnsi="Times New Roman" w:cs="Times New Roman"/>
                      <w:color w:val="auto"/>
                      <w:lang w:val="zh-CN"/>
                    </w:rPr>
                    <w:t>表示危险废物贮存、处置场</w:t>
                  </w:r>
                </w:p>
              </w:tc>
            </w:tr>
          </w:tbl>
          <w:p w14:paraId="5F59D2D7">
            <w:pPr>
              <w:adjustRightInd w:val="0"/>
              <w:snapToGrid w:val="0"/>
              <w:spacing w:line="360" w:lineRule="auto"/>
              <w:ind w:firstLine="390" w:firstLineChars="200"/>
              <w:jc w:val="both"/>
              <w:rPr>
                <w:rFonts w:hint="default" w:ascii="Times New Roman" w:hAnsi="Times New Roman" w:eastAsia="宋体" w:cs="Times New Roman"/>
                <w:color w:val="auto"/>
                <w:spacing w:val="-8"/>
                <w:szCs w:val="21"/>
                <w:highlight w:val="none"/>
                <w:lang w:val="en-US" w:eastAsia="zh-CN"/>
              </w:rPr>
            </w:pPr>
            <w:r>
              <w:rPr>
                <w:rFonts w:hint="eastAsia" w:ascii="Times New Roman" w:hAnsi="Times New Roman" w:cs="Times New Roman"/>
                <w:b/>
                <w:bCs/>
                <w:color w:val="auto"/>
                <w:spacing w:val="-8"/>
                <w:szCs w:val="21"/>
                <w:highlight w:val="none"/>
                <w:lang w:val="en-US" w:eastAsia="zh-CN"/>
              </w:rPr>
              <w:t>2、建立企业台账</w:t>
            </w:r>
          </w:p>
          <w:p w14:paraId="508793EC">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 xml:space="preserve">（1）环境管理台账记录要求 </w:t>
            </w:r>
          </w:p>
          <w:p w14:paraId="747C391F">
            <w:pPr>
              <w:adjustRightInd w:val="0"/>
              <w:snapToGrid w:val="0"/>
              <w:spacing w:line="360" w:lineRule="auto"/>
              <w:ind w:firstLine="388" w:firstLineChars="200"/>
              <w:jc w:val="both"/>
              <w:rPr>
                <w:rFonts w:hint="default"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应按本标准规定，在《排污许可证申请表》中明确环境管理台账记录要求。可根据自行监测管理的要求补充填报其他必要内容。排污单位应建立环境管理台账制度，设置专人专职进行台账的记录、整理、维护和管理，并对台账记录结果的真实性、准确性、完整性负责。</w:t>
            </w:r>
          </w:p>
          <w:p w14:paraId="2A1D80E7">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（2）台账记录内容</w:t>
            </w:r>
          </w:p>
          <w:p w14:paraId="469DF0C9">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企业应真实记录生产设施和污染防治设施信息，其中，生产设施信息包括基本信息和生产设施运行管理信息，污染防治设施信息包括基本信息、污染防治设施运行管理信息、监测记录信息、其他环境管理信息等内容。</w:t>
            </w:r>
          </w:p>
          <w:p w14:paraId="79270E09">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①生产设施信息记录生产设施运行参数，包括设备名称、主要生产设施参数、设计生产能力、产品产量、生产负荷、原辅料及燃料使用情况等。</w:t>
            </w:r>
          </w:p>
          <w:p w14:paraId="7997EA0C">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a）产品产量：记录最终产品产量。</w:t>
            </w:r>
          </w:p>
          <w:p w14:paraId="494210C4">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b）生产负荷：记录实际产品产量与实际核定产能之比。</w:t>
            </w:r>
          </w:p>
          <w:p w14:paraId="4AF49977">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c）原辅料：记录名称、种类、用量等。</w:t>
            </w:r>
          </w:p>
          <w:p w14:paraId="0281E16B">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②污染防治设施运行管理信息记录所有污染治理设施的规格参数、污染物排放情况、停运时段、主要药剂添加情况等。</w:t>
            </w:r>
          </w:p>
          <w:p w14:paraId="275A3B13">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a）污染物排放情况：废水防治设施台账应包括所有防治设施的运行参数及排放情况等。废气治理设施应记录入口风量、污染物项目、排放浓度、排放量、治理效率、数据来源，还应明确排放口烟气温度、压力、排气筒高度、排放时间等。</w:t>
            </w:r>
          </w:p>
          <w:p w14:paraId="3F362780">
            <w:pPr>
              <w:adjustRightInd w:val="0"/>
              <w:snapToGrid w:val="0"/>
              <w:spacing w:line="360" w:lineRule="auto"/>
              <w:ind w:firstLine="388" w:firstLineChars="200"/>
              <w:jc w:val="both"/>
              <w:rPr>
                <w:rFonts w:hint="eastAsia"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b）停运时段：开始时间、结束时间，记录内容反映排污单位污染防治设施运行状况。</w:t>
            </w:r>
          </w:p>
          <w:p w14:paraId="74E87A32">
            <w:pPr>
              <w:adjustRightInd w:val="0"/>
              <w:snapToGrid w:val="0"/>
              <w:spacing w:line="360" w:lineRule="auto"/>
              <w:ind w:firstLine="388" w:firstLineChars="200"/>
              <w:jc w:val="both"/>
              <w:rPr>
                <w:rFonts w:hint="default" w:ascii="Times New Roman" w:hAnsi="Times New Roman" w:eastAsia="宋体" w:cs="Times New Roman"/>
                <w:color w:val="auto"/>
                <w:spacing w:val="-8"/>
                <w:szCs w:val="21"/>
                <w:highlight w:val="none"/>
                <w:lang w:val="en-US" w:eastAsia="zh-CN"/>
              </w:rPr>
            </w:pPr>
            <w:r>
              <w:rPr>
                <w:rFonts w:hint="eastAsia" w:ascii="Times New Roman" w:hAnsi="Times New Roman" w:eastAsia="宋体" w:cs="Times New Roman"/>
                <w:color w:val="auto"/>
                <w:spacing w:val="-8"/>
                <w:szCs w:val="21"/>
                <w:highlight w:val="none"/>
                <w:lang w:val="en-US" w:eastAsia="zh-CN"/>
              </w:rPr>
              <w:t>c）主要药剂添加情况：记录添加药剂名称、添加时间、添加量。</w:t>
            </w:r>
          </w:p>
          <w:p w14:paraId="1D99E50D">
            <w:pPr>
              <w:adjustRightInd w:val="0"/>
              <w:snapToGrid w:val="0"/>
              <w:spacing w:line="360" w:lineRule="auto"/>
              <w:ind w:firstLine="388" w:firstLineChars="200"/>
              <w:jc w:val="both"/>
              <w:rPr>
                <w:rFonts w:hint="default" w:ascii="Times New Roman" w:hAnsi="Times New Roman" w:eastAsia="宋体" w:cs="Times New Roman"/>
                <w:color w:val="auto"/>
                <w:spacing w:val="-8"/>
                <w:szCs w:val="21"/>
                <w:highlight w:val="none"/>
                <w:lang w:val="en-US" w:eastAsia="zh-CN"/>
              </w:rPr>
            </w:pPr>
          </w:p>
          <w:p w14:paraId="1DCFA689">
            <w:pPr>
              <w:adjustRightInd w:val="0"/>
              <w:snapToGrid w:val="0"/>
              <w:spacing w:line="360" w:lineRule="auto"/>
              <w:ind w:firstLine="388" w:firstLineChars="200"/>
              <w:jc w:val="both"/>
              <w:rPr>
                <w:rFonts w:hint="default" w:ascii="Times New Roman" w:hAnsi="Times New Roman" w:eastAsia="宋体" w:cs="Times New Roman"/>
                <w:color w:val="auto"/>
                <w:spacing w:val="-8"/>
                <w:szCs w:val="21"/>
                <w:highlight w:val="none"/>
                <w:lang w:val="en-US" w:eastAsia="zh-CN"/>
              </w:rPr>
            </w:pPr>
          </w:p>
          <w:p w14:paraId="79822C2C">
            <w:pPr>
              <w:rPr>
                <w:rFonts w:hint="default"/>
                <w:lang w:val="en-US" w:eastAsia="zh-CN"/>
              </w:rPr>
            </w:pPr>
          </w:p>
        </w:tc>
      </w:tr>
    </w:tbl>
    <w:p w14:paraId="2AA8EB5D">
      <w:pPr>
        <w:pStyle w:val="24"/>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14:paraId="49804B30">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top"/>
          </w:tcPr>
          <w:p w14:paraId="581CCB3C">
            <w:pPr>
              <w:pStyle w:val="13"/>
              <w:rPr>
                <w:rFonts w:hint="default" w:ascii="Times New Roman" w:hAnsi="Times New Roman" w:eastAsia="宋体" w:cs="Times New Roman"/>
                <w:color w:val="auto"/>
                <w:spacing w:val="4"/>
                <w:kern w:val="0"/>
                <w:sz w:val="24"/>
                <w:szCs w:val="24"/>
                <w:highlight w:val="none"/>
                <w:lang w:val="zh-CN" w:eastAsia="zh-CN" w:bidi="ar-SA"/>
              </w:rPr>
            </w:pPr>
          </w:p>
          <w:p w14:paraId="4AEECB48">
            <w:pPr>
              <w:spacing w:line="360" w:lineRule="auto"/>
              <w:ind w:firstLine="480" w:firstLineChars="200"/>
              <w:jc w:val="both"/>
              <w:rPr>
                <w:rFonts w:ascii="宋体" w:hAnsi="宋体" w:eastAsia="宋体" w:cs="宋体"/>
                <w:sz w:val="24"/>
                <w:szCs w:val="24"/>
              </w:rPr>
            </w:pPr>
            <w:r>
              <w:rPr>
                <w:rFonts w:ascii="宋体" w:hAnsi="宋体" w:eastAsia="宋体" w:cs="宋体"/>
                <w:sz w:val="24"/>
                <w:szCs w:val="24"/>
              </w:rPr>
              <w:t>项目建设符合国家产业政策，项目所在区域环境质量满足相应环境功能区划要求，项目与周边环境相容，选址可行；项目拟采取的污染防治措施有效，各污染物经处理后均能满足相应排放标准；具有良好的经济效益和较好的社会效益。</w:t>
            </w:r>
          </w:p>
          <w:p w14:paraId="47845D96">
            <w:pPr>
              <w:spacing w:line="360" w:lineRule="auto"/>
              <w:ind w:firstLine="480" w:firstLineChars="200"/>
              <w:jc w:val="both"/>
              <w:rPr>
                <w:rFonts w:ascii="宋体" w:hAnsi="宋体" w:eastAsia="宋体" w:cs="宋体"/>
                <w:sz w:val="24"/>
                <w:szCs w:val="24"/>
              </w:rPr>
            </w:pPr>
            <w:r>
              <w:rPr>
                <w:rFonts w:ascii="宋体" w:hAnsi="宋体" w:eastAsia="宋体" w:cs="宋体"/>
                <w:sz w:val="24"/>
                <w:szCs w:val="24"/>
              </w:rPr>
              <w:t>通过对本项目的环境影响分析评价，项目运营过程中会产生废气、废水、噪声、固体废物等污染物，对周围大气环境、水环境、声环境、生态环境造成一定不利影响，经采取积极有效的防治措施并确保污染物达标排放后，可避免或减少这些不利影响，影响均在环境可接受的范围内。</w:t>
            </w:r>
          </w:p>
          <w:p w14:paraId="411226CC">
            <w:pPr>
              <w:spacing w:line="360" w:lineRule="auto"/>
              <w:ind w:firstLine="480" w:firstLineChars="200"/>
              <w:jc w:val="both"/>
              <w:rPr>
                <w:rFonts w:hint="default" w:ascii="Times New Roman" w:hAnsi="Times New Roman" w:cs="Times New Roman"/>
                <w:color w:val="auto"/>
                <w:sz w:val="24"/>
                <w:highlight w:val="none"/>
              </w:rPr>
            </w:pPr>
            <w:r>
              <w:rPr>
                <w:rFonts w:ascii="宋体" w:hAnsi="宋体" w:eastAsia="宋体" w:cs="宋体"/>
                <w:sz w:val="24"/>
                <w:szCs w:val="24"/>
              </w:rPr>
              <w:t>综上所述，在认真执行建设项目“三同时”制度，严格落实本环境影响评价提出的各项环保措施的前提下，从环境保护角度分析，本项目建设是可行的。</w:t>
            </w:r>
          </w:p>
        </w:tc>
      </w:tr>
    </w:tbl>
    <w:p w14:paraId="7665F631">
      <w:pPr>
        <w:rPr>
          <w:rFonts w:hint="default" w:ascii="Times New Roman" w:hAnsi="Times New Roman" w:cs="Times New Roman"/>
          <w:color w:val="auto"/>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61A2E29">
      <w:pPr>
        <w:pStyle w:val="24"/>
        <w:adjustRightInd w:val="0"/>
        <w:snapToGrid w:val="0"/>
        <w:spacing w:before="0" w:beforeAutospacing="0" w:after="0" w:afterAutospacing="0" w:line="240" w:lineRule="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14:paraId="29AE3873">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8"/>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908"/>
        <w:gridCol w:w="1701"/>
        <w:gridCol w:w="1276"/>
        <w:gridCol w:w="1701"/>
        <w:gridCol w:w="1559"/>
        <w:gridCol w:w="1462"/>
        <w:gridCol w:w="1500"/>
        <w:gridCol w:w="1584"/>
      </w:tblGrid>
      <w:tr w14:paraId="16AAF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tcBorders>
              <w:tl2br w:val="single" w:color="auto" w:sz="4" w:space="0"/>
            </w:tcBorders>
            <w:tcMar>
              <w:left w:w="28" w:type="dxa"/>
              <w:right w:w="28" w:type="dxa"/>
            </w:tcMar>
            <w:vAlign w:val="center"/>
          </w:tcPr>
          <w:p w14:paraId="4B893911">
            <w:pPr>
              <w:pStyle w:val="60"/>
              <w:keepNext w:val="0"/>
              <w:keepLines w:val="0"/>
              <w:pageBreakBefore w:val="0"/>
              <w:widowControl w:val="0"/>
              <w:kinsoku/>
              <w:wordWrap/>
              <w:overflowPunct/>
              <w:topLinePunct w:val="0"/>
              <w:autoSpaceDE/>
              <w:autoSpaceDN/>
              <w:bidi w:val="0"/>
              <w:snapToGrid/>
              <w:spacing w:beforeLines="0" w:afterLines="0" w:line="240" w:lineRule="auto"/>
              <w:ind w:left="210" w:leftChars="10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项目</w:t>
            </w:r>
          </w:p>
          <w:p w14:paraId="58223E3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both"/>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分类</w:t>
            </w:r>
          </w:p>
        </w:tc>
        <w:tc>
          <w:tcPr>
            <w:tcW w:w="1908" w:type="dxa"/>
            <w:tcMar>
              <w:left w:w="28" w:type="dxa"/>
              <w:right w:w="28" w:type="dxa"/>
            </w:tcMar>
            <w:vAlign w:val="center"/>
          </w:tcPr>
          <w:p w14:paraId="1C5F32EE">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污染物名称</w:t>
            </w:r>
          </w:p>
        </w:tc>
        <w:tc>
          <w:tcPr>
            <w:tcW w:w="1701" w:type="dxa"/>
            <w:tcMar>
              <w:left w:w="28" w:type="dxa"/>
              <w:right w:w="28" w:type="dxa"/>
            </w:tcMar>
            <w:vAlign w:val="center"/>
          </w:tcPr>
          <w:p w14:paraId="1437ACF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现有工程</w:t>
            </w:r>
          </w:p>
          <w:p w14:paraId="70A3149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1 \* GB3 \* MERGEFORMAT </w:instrText>
            </w:r>
            <w:r>
              <w:rPr>
                <w:rFonts w:ascii="Times New Roman" w:eastAsia="黑体"/>
                <w:snapToGrid w:val="0"/>
                <w:color w:val="auto"/>
                <w:spacing w:val="-6"/>
                <w:kern w:val="21"/>
                <w:sz w:val="21"/>
                <w:szCs w:val="21"/>
              </w:rPr>
              <w:fldChar w:fldCharType="separate"/>
            </w:r>
            <w:r>
              <w:rPr>
                <w:rFonts w:hint="eastAsia" w:hAnsi="宋体" w:cs="宋体"/>
                <w:color w:val="auto"/>
                <w:kern w:val="2"/>
                <w:sz w:val="21"/>
                <w:szCs w:val="21"/>
              </w:rPr>
              <w:t>①</w:t>
            </w:r>
            <w:r>
              <w:rPr>
                <w:rFonts w:ascii="Times New Roman" w:eastAsia="黑体"/>
                <w:snapToGrid w:val="0"/>
                <w:color w:val="auto"/>
                <w:spacing w:val="-6"/>
                <w:kern w:val="21"/>
                <w:sz w:val="21"/>
                <w:szCs w:val="21"/>
              </w:rPr>
              <w:fldChar w:fldCharType="end"/>
            </w:r>
          </w:p>
        </w:tc>
        <w:tc>
          <w:tcPr>
            <w:tcW w:w="1276" w:type="dxa"/>
            <w:tcMar>
              <w:left w:w="28" w:type="dxa"/>
              <w:right w:w="28" w:type="dxa"/>
            </w:tcMar>
            <w:vAlign w:val="center"/>
          </w:tcPr>
          <w:p w14:paraId="3DAE764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现有工程</w:t>
            </w:r>
          </w:p>
          <w:p w14:paraId="7C619F0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许可排放量</w:t>
            </w:r>
          </w:p>
          <w:p w14:paraId="5E01E48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2 \* GB3 \* MERGEFORMAT </w:instrText>
            </w:r>
            <w:r>
              <w:rPr>
                <w:rFonts w:ascii="Times New Roman" w:eastAsia="黑体"/>
                <w:snapToGrid w:val="0"/>
                <w:color w:val="auto"/>
                <w:spacing w:val="-6"/>
                <w:kern w:val="21"/>
                <w:sz w:val="21"/>
                <w:szCs w:val="21"/>
              </w:rPr>
              <w:fldChar w:fldCharType="separate"/>
            </w:r>
            <w:r>
              <w:rPr>
                <w:rFonts w:hint="eastAsia" w:hAnsi="宋体" w:cs="宋体"/>
                <w:snapToGrid w:val="0"/>
                <w:color w:val="auto"/>
                <w:spacing w:val="-6"/>
                <w:kern w:val="21"/>
                <w:sz w:val="21"/>
                <w:szCs w:val="21"/>
              </w:rPr>
              <w:t>②</w:t>
            </w:r>
            <w:r>
              <w:rPr>
                <w:rFonts w:ascii="Times New Roman" w:eastAsia="黑体"/>
                <w:snapToGrid w:val="0"/>
                <w:color w:val="auto"/>
                <w:spacing w:val="-6"/>
                <w:kern w:val="21"/>
                <w:sz w:val="21"/>
                <w:szCs w:val="21"/>
              </w:rPr>
              <w:fldChar w:fldCharType="end"/>
            </w:r>
          </w:p>
        </w:tc>
        <w:tc>
          <w:tcPr>
            <w:tcW w:w="1701" w:type="dxa"/>
            <w:tcMar>
              <w:left w:w="28" w:type="dxa"/>
              <w:right w:w="28" w:type="dxa"/>
            </w:tcMar>
            <w:vAlign w:val="center"/>
          </w:tcPr>
          <w:p w14:paraId="67D358C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在建工程</w:t>
            </w:r>
          </w:p>
          <w:p w14:paraId="1E0022B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3 \* GB3 \* MERGEFORMAT </w:instrText>
            </w:r>
            <w:r>
              <w:rPr>
                <w:rFonts w:ascii="Times New Roman" w:eastAsia="黑体"/>
                <w:snapToGrid w:val="0"/>
                <w:color w:val="auto"/>
                <w:spacing w:val="-6"/>
                <w:kern w:val="21"/>
                <w:sz w:val="21"/>
                <w:szCs w:val="21"/>
              </w:rPr>
              <w:fldChar w:fldCharType="separate"/>
            </w:r>
            <w:r>
              <w:rPr>
                <w:rFonts w:hint="eastAsia" w:hAnsi="宋体" w:cs="宋体"/>
                <w:color w:val="auto"/>
                <w:kern w:val="2"/>
                <w:sz w:val="21"/>
                <w:szCs w:val="21"/>
              </w:rPr>
              <w:t>③</w:t>
            </w:r>
            <w:r>
              <w:rPr>
                <w:rFonts w:ascii="Times New Roman" w:eastAsia="黑体"/>
                <w:snapToGrid w:val="0"/>
                <w:color w:val="auto"/>
                <w:spacing w:val="-6"/>
                <w:kern w:val="21"/>
                <w:sz w:val="21"/>
                <w:szCs w:val="21"/>
              </w:rPr>
              <w:fldChar w:fldCharType="end"/>
            </w:r>
          </w:p>
        </w:tc>
        <w:tc>
          <w:tcPr>
            <w:tcW w:w="1559" w:type="dxa"/>
            <w:tcMar>
              <w:left w:w="28" w:type="dxa"/>
              <w:right w:w="28" w:type="dxa"/>
            </w:tcMar>
            <w:vAlign w:val="center"/>
          </w:tcPr>
          <w:p w14:paraId="787B05D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本项目</w:t>
            </w:r>
          </w:p>
          <w:p w14:paraId="7654F35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排放量（固体废物产生量）</w:t>
            </w: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4 \* GB3 \* MERGEFORMAT </w:instrText>
            </w:r>
            <w:r>
              <w:rPr>
                <w:rFonts w:ascii="Times New Roman" w:eastAsia="黑体"/>
                <w:snapToGrid w:val="0"/>
                <w:color w:val="auto"/>
                <w:spacing w:val="-6"/>
                <w:kern w:val="21"/>
                <w:sz w:val="21"/>
                <w:szCs w:val="21"/>
              </w:rPr>
              <w:fldChar w:fldCharType="separate"/>
            </w:r>
            <w:r>
              <w:rPr>
                <w:rFonts w:hint="eastAsia" w:hAnsi="宋体" w:cs="宋体"/>
                <w:color w:val="auto"/>
                <w:kern w:val="2"/>
                <w:sz w:val="21"/>
                <w:szCs w:val="21"/>
              </w:rPr>
              <w:t>④</w:t>
            </w:r>
            <w:r>
              <w:rPr>
                <w:rFonts w:ascii="Times New Roman" w:eastAsia="黑体"/>
                <w:snapToGrid w:val="0"/>
                <w:color w:val="auto"/>
                <w:spacing w:val="-6"/>
                <w:kern w:val="21"/>
                <w:sz w:val="21"/>
                <w:szCs w:val="21"/>
              </w:rPr>
              <w:fldChar w:fldCharType="end"/>
            </w:r>
          </w:p>
        </w:tc>
        <w:tc>
          <w:tcPr>
            <w:tcW w:w="1462" w:type="dxa"/>
            <w:tcMar>
              <w:left w:w="28" w:type="dxa"/>
              <w:right w:w="28" w:type="dxa"/>
            </w:tcMar>
            <w:vAlign w:val="center"/>
          </w:tcPr>
          <w:p w14:paraId="73EB0A8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以新带老削减量</w:t>
            </w:r>
          </w:p>
          <w:p w14:paraId="341CC00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（新建项目不填）</w:t>
            </w:r>
            <w:r>
              <w:rPr>
                <w:rFonts w:ascii="Times New Roman" w:eastAsia="黑体"/>
                <w:snapToGrid w:val="0"/>
                <w:color w:val="auto"/>
                <w:spacing w:val="-16"/>
                <w:kern w:val="21"/>
                <w:sz w:val="21"/>
                <w:szCs w:val="21"/>
              </w:rPr>
              <w:fldChar w:fldCharType="begin"/>
            </w:r>
            <w:r>
              <w:rPr>
                <w:rFonts w:ascii="Times New Roman" w:eastAsia="黑体"/>
                <w:snapToGrid w:val="0"/>
                <w:color w:val="auto"/>
                <w:spacing w:val="-16"/>
                <w:kern w:val="21"/>
                <w:sz w:val="21"/>
                <w:szCs w:val="21"/>
              </w:rPr>
              <w:instrText xml:space="preserve"> = 5 \* GB3 \* MERGEFORMAT </w:instrText>
            </w:r>
            <w:r>
              <w:rPr>
                <w:rFonts w:ascii="Times New Roman" w:eastAsia="黑体"/>
                <w:snapToGrid w:val="0"/>
                <w:color w:val="auto"/>
                <w:spacing w:val="-16"/>
                <w:kern w:val="21"/>
                <w:sz w:val="21"/>
                <w:szCs w:val="21"/>
              </w:rPr>
              <w:fldChar w:fldCharType="separate"/>
            </w:r>
            <w:r>
              <w:rPr>
                <w:rFonts w:hint="eastAsia" w:hAnsi="宋体" w:cs="宋体"/>
                <w:color w:val="auto"/>
                <w:kern w:val="2"/>
                <w:sz w:val="21"/>
                <w:szCs w:val="21"/>
              </w:rPr>
              <w:t>⑤</w:t>
            </w:r>
            <w:r>
              <w:rPr>
                <w:rFonts w:ascii="Times New Roman" w:eastAsia="黑体"/>
                <w:snapToGrid w:val="0"/>
                <w:color w:val="auto"/>
                <w:spacing w:val="-16"/>
                <w:kern w:val="21"/>
                <w:sz w:val="21"/>
                <w:szCs w:val="21"/>
              </w:rPr>
              <w:fldChar w:fldCharType="end"/>
            </w:r>
          </w:p>
        </w:tc>
        <w:tc>
          <w:tcPr>
            <w:tcW w:w="1500" w:type="dxa"/>
            <w:tcMar>
              <w:left w:w="28" w:type="dxa"/>
              <w:right w:w="28" w:type="dxa"/>
            </w:tcMar>
            <w:vAlign w:val="center"/>
          </w:tcPr>
          <w:p w14:paraId="328E57D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本项目建成后</w:t>
            </w:r>
          </w:p>
          <w:p w14:paraId="6F9F5FF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16"/>
                <w:kern w:val="21"/>
                <w:sz w:val="21"/>
                <w:szCs w:val="21"/>
              </w:rPr>
            </w:pPr>
            <w:r>
              <w:rPr>
                <w:rFonts w:ascii="Times New Roman" w:eastAsia="黑体"/>
                <w:snapToGrid w:val="0"/>
                <w:color w:val="auto"/>
                <w:spacing w:val="-16"/>
                <w:kern w:val="21"/>
                <w:sz w:val="21"/>
                <w:szCs w:val="21"/>
              </w:rPr>
              <w:t>全厂排放量（固体废物产生量）</w:t>
            </w:r>
            <w:r>
              <w:rPr>
                <w:rFonts w:ascii="Times New Roman" w:eastAsia="黑体"/>
                <w:snapToGrid w:val="0"/>
                <w:color w:val="auto"/>
                <w:spacing w:val="-16"/>
                <w:kern w:val="21"/>
                <w:sz w:val="21"/>
                <w:szCs w:val="21"/>
              </w:rPr>
              <w:fldChar w:fldCharType="begin"/>
            </w:r>
            <w:r>
              <w:rPr>
                <w:rFonts w:ascii="Times New Roman" w:eastAsia="黑体"/>
                <w:snapToGrid w:val="0"/>
                <w:color w:val="auto"/>
                <w:spacing w:val="-16"/>
                <w:kern w:val="21"/>
                <w:sz w:val="21"/>
                <w:szCs w:val="21"/>
              </w:rPr>
              <w:instrText xml:space="preserve"> = 6 \* GB3 \* MERGEFORMAT </w:instrText>
            </w:r>
            <w:r>
              <w:rPr>
                <w:rFonts w:ascii="Times New Roman" w:eastAsia="黑体"/>
                <w:snapToGrid w:val="0"/>
                <w:color w:val="auto"/>
                <w:spacing w:val="-16"/>
                <w:kern w:val="21"/>
                <w:sz w:val="21"/>
                <w:szCs w:val="21"/>
              </w:rPr>
              <w:fldChar w:fldCharType="separate"/>
            </w:r>
            <w:r>
              <w:rPr>
                <w:rFonts w:hint="eastAsia" w:hAnsi="宋体" w:cs="宋体"/>
                <w:color w:val="auto"/>
                <w:kern w:val="2"/>
                <w:sz w:val="21"/>
                <w:szCs w:val="21"/>
              </w:rPr>
              <w:t>⑥</w:t>
            </w:r>
            <w:r>
              <w:rPr>
                <w:rFonts w:ascii="Times New Roman" w:eastAsia="黑体"/>
                <w:snapToGrid w:val="0"/>
                <w:color w:val="auto"/>
                <w:spacing w:val="-16"/>
                <w:kern w:val="21"/>
                <w:sz w:val="21"/>
                <w:szCs w:val="21"/>
              </w:rPr>
              <w:fldChar w:fldCharType="end"/>
            </w:r>
          </w:p>
        </w:tc>
        <w:tc>
          <w:tcPr>
            <w:tcW w:w="1584" w:type="dxa"/>
            <w:tcMar>
              <w:left w:w="28" w:type="dxa"/>
              <w:right w:w="28" w:type="dxa"/>
            </w:tcMar>
            <w:vAlign w:val="center"/>
          </w:tcPr>
          <w:p w14:paraId="60DB31DB">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t>变化量</w:t>
            </w:r>
          </w:p>
          <w:p w14:paraId="63C2B9D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eastAsia="黑体"/>
                <w:snapToGrid w:val="0"/>
                <w:color w:val="auto"/>
                <w:spacing w:val="-6"/>
                <w:kern w:val="21"/>
                <w:sz w:val="21"/>
                <w:szCs w:val="21"/>
              </w:rPr>
            </w:pPr>
            <w:r>
              <w:rPr>
                <w:rFonts w:ascii="Times New Roman" w:eastAsia="黑体"/>
                <w:snapToGrid w:val="0"/>
                <w:color w:val="auto"/>
                <w:spacing w:val="-6"/>
                <w:kern w:val="21"/>
                <w:sz w:val="21"/>
                <w:szCs w:val="21"/>
              </w:rPr>
              <w:fldChar w:fldCharType="begin"/>
            </w:r>
            <w:r>
              <w:rPr>
                <w:rFonts w:ascii="Times New Roman" w:eastAsia="黑体"/>
                <w:snapToGrid w:val="0"/>
                <w:color w:val="auto"/>
                <w:spacing w:val="-6"/>
                <w:kern w:val="21"/>
                <w:sz w:val="21"/>
                <w:szCs w:val="21"/>
              </w:rPr>
              <w:instrText xml:space="preserve"> = 7 \* GB3 \* MERGEFORMAT </w:instrText>
            </w:r>
            <w:r>
              <w:rPr>
                <w:rFonts w:ascii="Times New Roman" w:eastAsia="黑体"/>
                <w:snapToGrid w:val="0"/>
                <w:color w:val="auto"/>
                <w:spacing w:val="-6"/>
                <w:kern w:val="21"/>
                <w:sz w:val="21"/>
                <w:szCs w:val="21"/>
              </w:rPr>
              <w:fldChar w:fldCharType="separate"/>
            </w:r>
            <w:r>
              <w:rPr>
                <w:rFonts w:hint="eastAsia" w:hAnsi="宋体" w:cs="宋体"/>
                <w:color w:val="auto"/>
                <w:kern w:val="2"/>
                <w:sz w:val="21"/>
                <w:szCs w:val="21"/>
              </w:rPr>
              <w:t>⑦</w:t>
            </w:r>
            <w:r>
              <w:rPr>
                <w:rFonts w:ascii="Times New Roman" w:eastAsia="黑体"/>
                <w:snapToGrid w:val="0"/>
                <w:color w:val="auto"/>
                <w:spacing w:val="-6"/>
                <w:kern w:val="21"/>
                <w:sz w:val="21"/>
                <w:szCs w:val="21"/>
              </w:rPr>
              <w:fldChar w:fldCharType="end"/>
            </w:r>
          </w:p>
        </w:tc>
      </w:tr>
      <w:tr w14:paraId="62746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restart"/>
            <w:vAlign w:val="center"/>
          </w:tcPr>
          <w:p w14:paraId="2224767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ascii="Times New Roman"/>
                <w:snapToGrid w:val="0"/>
                <w:color w:val="auto"/>
                <w:kern w:val="21"/>
                <w:sz w:val="21"/>
                <w:szCs w:val="21"/>
              </w:rPr>
              <w:t>废气</w:t>
            </w:r>
          </w:p>
        </w:tc>
        <w:tc>
          <w:tcPr>
            <w:tcW w:w="1908" w:type="dxa"/>
            <w:vAlign w:val="center"/>
          </w:tcPr>
          <w:p w14:paraId="01D4448C">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非甲烷总烃</w:t>
            </w:r>
          </w:p>
        </w:tc>
        <w:tc>
          <w:tcPr>
            <w:tcW w:w="1701" w:type="dxa"/>
            <w:vAlign w:val="center"/>
          </w:tcPr>
          <w:p w14:paraId="606B4A2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7A53681B">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5292B5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26F321DC">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278</w:t>
            </w:r>
            <w:r>
              <w:rPr>
                <w:rFonts w:hint="eastAsia" w:ascii="Times New Roman" w:hAnsi="Times New Roman" w:cs="Times New Roman"/>
                <w:snapToGrid w:val="0"/>
                <w:color w:val="auto"/>
                <w:kern w:val="21"/>
                <w:sz w:val="21"/>
                <w:szCs w:val="21"/>
              </w:rPr>
              <w:t>t/a</w:t>
            </w:r>
          </w:p>
        </w:tc>
        <w:tc>
          <w:tcPr>
            <w:tcW w:w="1462" w:type="dxa"/>
            <w:vAlign w:val="center"/>
          </w:tcPr>
          <w:p w14:paraId="150E9B3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004F8A97">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278</w:t>
            </w:r>
            <w:r>
              <w:rPr>
                <w:rFonts w:hint="eastAsia" w:ascii="Times New Roman" w:hAnsi="Times New Roman" w:cs="Times New Roman"/>
                <w:snapToGrid w:val="0"/>
                <w:color w:val="auto"/>
                <w:kern w:val="21"/>
                <w:sz w:val="21"/>
                <w:szCs w:val="21"/>
              </w:rPr>
              <w:t>t/a</w:t>
            </w:r>
          </w:p>
        </w:tc>
        <w:tc>
          <w:tcPr>
            <w:tcW w:w="1584" w:type="dxa"/>
            <w:vAlign w:val="center"/>
          </w:tcPr>
          <w:p w14:paraId="42041F1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278</w:t>
            </w:r>
            <w:r>
              <w:rPr>
                <w:rFonts w:hint="eastAsia" w:ascii="Times New Roman" w:hAnsi="Times New Roman" w:cs="Times New Roman"/>
                <w:snapToGrid w:val="0"/>
                <w:color w:val="auto"/>
                <w:kern w:val="21"/>
                <w:sz w:val="21"/>
                <w:szCs w:val="21"/>
              </w:rPr>
              <w:t>t/a</w:t>
            </w:r>
          </w:p>
        </w:tc>
      </w:tr>
      <w:tr w14:paraId="562AC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2C87BF7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26ACC7D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snapToGrid w:val="0"/>
                <w:color w:val="auto"/>
                <w:kern w:val="21"/>
                <w:sz w:val="21"/>
                <w:szCs w:val="21"/>
              </w:rPr>
            </w:pPr>
            <w:r>
              <w:rPr>
                <w:rFonts w:hint="eastAsia" w:ascii="Times New Roman"/>
                <w:snapToGrid w:val="0"/>
                <w:color w:val="auto"/>
                <w:kern w:val="21"/>
                <w:sz w:val="21"/>
                <w:szCs w:val="21"/>
                <w:lang w:val="en-US" w:eastAsia="zh-CN"/>
              </w:rPr>
              <w:t>颗粒物</w:t>
            </w:r>
          </w:p>
        </w:tc>
        <w:tc>
          <w:tcPr>
            <w:tcW w:w="1701" w:type="dxa"/>
            <w:vAlign w:val="center"/>
          </w:tcPr>
          <w:p w14:paraId="4836FBE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276" w:type="dxa"/>
            <w:vAlign w:val="center"/>
          </w:tcPr>
          <w:p w14:paraId="085EFAE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701" w:type="dxa"/>
            <w:vAlign w:val="center"/>
          </w:tcPr>
          <w:p w14:paraId="115E2D1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559" w:type="dxa"/>
            <w:vAlign w:val="center"/>
          </w:tcPr>
          <w:p w14:paraId="6AFAC47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6</w:t>
            </w:r>
            <w:r>
              <w:rPr>
                <w:rFonts w:hint="eastAsia" w:ascii="Times New Roman" w:hAnsi="Times New Roman" w:cs="Times New Roman"/>
                <w:snapToGrid w:val="0"/>
                <w:color w:val="auto"/>
                <w:kern w:val="21"/>
                <w:sz w:val="21"/>
                <w:szCs w:val="21"/>
                <w:lang w:val="en-US" w:eastAsia="zh-CN"/>
              </w:rPr>
              <w:t>7</w:t>
            </w:r>
            <w:r>
              <w:rPr>
                <w:rFonts w:hint="eastAsia" w:ascii="Times New Roman" w:hAnsi="Times New Roman" w:cs="Times New Roman"/>
                <w:snapToGrid w:val="0"/>
                <w:color w:val="auto"/>
                <w:kern w:val="21"/>
                <w:sz w:val="21"/>
                <w:szCs w:val="21"/>
              </w:rPr>
              <w:t>t/a</w:t>
            </w:r>
          </w:p>
        </w:tc>
        <w:tc>
          <w:tcPr>
            <w:tcW w:w="1462" w:type="dxa"/>
            <w:vAlign w:val="center"/>
          </w:tcPr>
          <w:p w14:paraId="77935F7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500" w:type="dxa"/>
            <w:vAlign w:val="center"/>
          </w:tcPr>
          <w:p w14:paraId="708C0671">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6</w:t>
            </w:r>
            <w:r>
              <w:rPr>
                <w:rFonts w:hint="eastAsia" w:ascii="Times New Roman" w:hAnsi="Times New Roman" w:cs="Times New Roman"/>
                <w:snapToGrid w:val="0"/>
                <w:color w:val="auto"/>
                <w:kern w:val="21"/>
                <w:sz w:val="21"/>
                <w:szCs w:val="21"/>
                <w:lang w:val="en-US" w:eastAsia="zh-CN"/>
              </w:rPr>
              <w:t>7</w:t>
            </w:r>
            <w:r>
              <w:rPr>
                <w:rFonts w:hint="eastAsia" w:ascii="Times New Roman" w:hAnsi="Times New Roman" w:cs="Times New Roman"/>
                <w:snapToGrid w:val="0"/>
                <w:color w:val="auto"/>
                <w:kern w:val="21"/>
                <w:sz w:val="21"/>
                <w:szCs w:val="21"/>
              </w:rPr>
              <w:t>t/a</w:t>
            </w:r>
          </w:p>
        </w:tc>
        <w:tc>
          <w:tcPr>
            <w:tcW w:w="1584" w:type="dxa"/>
            <w:vAlign w:val="center"/>
          </w:tcPr>
          <w:p w14:paraId="5E8C8A9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6</w:t>
            </w:r>
            <w:r>
              <w:rPr>
                <w:rFonts w:hint="eastAsia" w:ascii="Times New Roman" w:hAnsi="Times New Roman" w:cs="Times New Roman"/>
                <w:snapToGrid w:val="0"/>
                <w:color w:val="auto"/>
                <w:kern w:val="21"/>
                <w:sz w:val="21"/>
                <w:szCs w:val="21"/>
                <w:lang w:val="en-US" w:eastAsia="zh-CN"/>
              </w:rPr>
              <w:t>7</w:t>
            </w:r>
            <w:r>
              <w:rPr>
                <w:rFonts w:hint="eastAsia" w:ascii="Times New Roman" w:hAnsi="Times New Roman" w:cs="Times New Roman"/>
                <w:snapToGrid w:val="0"/>
                <w:color w:val="auto"/>
                <w:kern w:val="21"/>
                <w:sz w:val="21"/>
                <w:szCs w:val="21"/>
              </w:rPr>
              <w:t>t/a</w:t>
            </w:r>
          </w:p>
        </w:tc>
      </w:tr>
      <w:tr w14:paraId="2E4F2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restart"/>
            <w:vAlign w:val="center"/>
          </w:tcPr>
          <w:p w14:paraId="30C275E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r>
              <w:rPr>
                <w:rFonts w:ascii="Times New Roman"/>
                <w:snapToGrid w:val="0"/>
                <w:color w:val="auto"/>
                <w:kern w:val="21"/>
                <w:sz w:val="21"/>
                <w:szCs w:val="21"/>
              </w:rPr>
              <w:t>废水</w:t>
            </w:r>
          </w:p>
        </w:tc>
        <w:tc>
          <w:tcPr>
            <w:tcW w:w="1908" w:type="dxa"/>
            <w:vAlign w:val="center"/>
          </w:tcPr>
          <w:p w14:paraId="3C31157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rPr>
              <w:t>COD</w:t>
            </w:r>
            <w:r>
              <w:rPr>
                <w:rFonts w:hint="eastAsia" w:ascii="Times New Roman"/>
                <w:snapToGrid w:val="0"/>
                <w:color w:val="auto"/>
                <w:kern w:val="21"/>
                <w:sz w:val="21"/>
                <w:szCs w:val="21"/>
                <w:lang w:val="en-US" w:eastAsia="zh-CN"/>
              </w:rPr>
              <w:t>cr</w:t>
            </w:r>
          </w:p>
        </w:tc>
        <w:tc>
          <w:tcPr>
            <w:tcW w:w="1701" w:type="dxa"/>
            <w:vAlign w:val="center"/>
          </w:tcPr>
          <w:p w14:paraId="4D46E04E">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1802AE0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183A7E8B">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4E8BA4BC">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0.04193</w:t>
            </w:r>
            <w:r>
              <w:rPr>
                <w:rFonts w:hint="eastAsia" w:ascii="Times New Roman" w:hAnsi="Times New Roman" w:cs="Times New Roman"/>
                <w:snapToGrid w:val="0"/>
                <w:color w:val="auto"/>
                <w:kern w:val="21"/>
                <w:sz w:val="21"/>
                <w:szCs w:val="21"/>
              </w:rPr>
              <w:t>t/a</w:t>
            </w:r>
          </w:p>
        </w:tc>
        <w:tc>
          <w:tcPr>
            <w:tcW w:w="1462" w:type="dxa"/>
            <w:vAlign w:val="center"/>
          </w:tcPr>
          <w:p w14:paraId="374C876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0199835D">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0.04193</w:t>
            </w:r>
            <w:r>
              <w:rPr>
                <w:rFonts w:hint="eastAsia" w:ascii="Times New Roman" w:hAnsi="Times New Roman" w:cs="Times New Roman"/>
                <w:snapToGrid w:val="0"/>
                <w:color w:val="auto"/>
                <w:kern w:val="21"/>
                <w:sz w:val="21"/>
                <w:szCs w:val="21"/>
              </w:rPr>
              <w:t>t/a</w:t>
            </w:r>
          </w:p>
        </w:tc>
        <w:tc>
          <w:tcPr>
            <w:tcW w:w="1584" w:type="dxa"/>
            <w:vAlign w:val="center"/>
          </w:tcPr>
          <w:p w14:paraId="7F72605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+0.04193</w:t>
            </w:r>
            <w:r>
              <w:rPr>
                <w:rFonts w:hint="eastAsia" w:ascii="Times New Roman" w:hAnsi="Times New Roman" w:cs="Times New Roman"/>
                <w:snapToGrid w:val="0"/>
                <w:color w:val="auto"/>
                <w:kern w:val="21"/>
                <w:sz w:val="21"/>
                <w:szCs w:val="21"/>
              </w:rPr>
              <w:t>t/a</w:t>
            </w:r>
          </w:p>
        </w:tc>
      </w:tr>
      <w:tr w14:paraId="2953A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4704CB0E">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1CAC651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hint="eastAsia" w:ascii="Times New Roman"/>
                <w:snapToGrid w:val="0"/>
                <w:color w:val="auto"/>
                <w:kern w:val="21"/>
                <w:sz w:val="21"/>
                <w:szCs w:val="21"/>
              </w:rPr>
              <w:t>BOD</w:t>
            </w:r>
            <w:r>
              <w:rPr>
                <w:rFonts w:hint="eastAsia" w:ascii="Times New Roman"/>
                <w:snapToGrid w:val="0"/>
                <w:color w:val="auto"/>
                <w:kern w:val="21"/>
                <w:sz w:val="21"/>
                <w:szCs w:val="21"/>
                <w:vertAlign w:val="subscript"/>
              </w:rPr>
              <w:t>5</w:t>
            </w:r>
          </w:p>
        </w:tc>
        <w:tc>
          <w:tcPr>
            <w:tcW w:w="1701" w:type="dxa"/>
            <w:vAlign w:val="center"/>
          </w:tcPr>
          <w:p w14:paraId="0E5991E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5572EB7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B6CC68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2728BEF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0.01512</w:t>
            </w:r>
            <w:r>
              <w:rPr>
                <w:rFonts w:hint="eastAsia" w:ascii="Times New Roman" w:hAnsi="Times New Roman" w:cs="Times New Roman"/>
                <w:snapToGrid w:val="0"/>
                <w:color w:val="auto"/>
                <w:kern w:val="21"/>
                <w:sz w:val="21"/>
                <w:szCs w:val="21"/>
              </w:rPr>
              <w:t>t/a</w:t>
            </w:r>
            <w:r>
              <w:rPr>
                <w:rFonts w:hint="eastAsia" w:ascii="Times New Roman" w:hAnsi="Times New Roman" w:eastAsia="宋体" w:cs="Times New Roman"/>
                <w:snapToGrid w:val="0"/>
                <w:color w:val="auto"/>
                <w:kern w:val="21"/>
                <w:sz w:val="21"/>
                <w:szCs w:val="21"/>
                <w:lang w:val="en-US" w:eastAsia="zh-CN"/>
              </w:rPr>
              <w:t xml:space="preserve"> </w:t>
            </w:r>
          </w:p>
        </w:tc>
        <w:tc>
          <w:tcPr>
            <w:tcW w:w="1462" w:type="dxa"/>
            <w:vAlign w:val="center"/>
          </w:tcPr>
          <w:p w14:paraId="4274FD1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125ED217">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0.01512</w:t>
            </w:r>
            <w:r>
              <w:rPr>
                <w:rFonts w:hint="eastAsia" w:ascii="Times New Roman" w:hAnsi="Times New Roman" w:cs="Times New Roman"/>
                <w:snapToGrid w:val="0"/>
                <w:color w:val="auto"/>
                <w:kern w:val="21"/>
                <w:sz w:val="21"/>
                <w:szCs w:val="21"/>
              </w:rPr>
              <w:t>t/a</w:t>
            </w:r>
            <w:r>
              <w:rPr>
                <w:rFonts w:hint="eastAsia" w:ascii="Times New Roman" w:hAnsi="Times New Roman" w:eastAsia="宋体" w:cs="Times New Roman"/>
                <w:snapToGrid w:val="0"/>
                <w:color w:val="auto"/>
                <w:kern w:val="21"/>
                <w:sz w:val="21"/>
                <w:szCs w:val="21"/>
                <w:lang w:val="en-US" w:eastAsia="zh-CN"/>
              </w:rPr>
              <w:t xml:space="preserve"> </w:t>
            </w:r>
          </w:p>
        </w:tc>
        <w:tc>
          <w:tcPr>
            <w:tcW w:w="1584" w:type="dxa"/>
            <w:vAlign w:val="center"/>
          </w:tcPr>
          <w:p w14:paraId="1E21060D">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+0.01512</w:t>
            </w:r>
            <w:r>
              <w:rPr>
                <w:rFonts w:hint="eastAsia" w:ascii="Times New Roman" w:hAnsi="Times New Roman" w:cs="Times New Roman"/>
                <w:snapToGrid w:val="0"/>
                <w:color w:val="auto"/>
                <w:kern w:val="21"/>
                <w:sz w:val="21"/>
                <w:szCs w:val="21"/>
              </w:rPr>
              <w:t>t/a</w:t>
            </w:r>
            <w:r>
              <w:rPr>
                <w:rFonts w:hint="eastAsia" w:ascii="Times New Roman" w:hAnsi="Times New Roman" w:eastAsia="宋体" w:cs="Times New Roman"/>
                <w:snapToGrid w:val="0"/>
                <w:color w:val="auto"/>
                <w:kern w:val="21"/>
                <w:sz w:val="21"/>
                <w:szCs w:val="21"/>
                <w:lang w:val="en-US" w:eastAsia="zh-CN"/>
              </w:rPr>
              <w:t xml:space="preserve"> </w:t>
            </w:r>
          </w:p>
        </w:tc>
      </w:tr>
      <w:tr w14:paraId="2903B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7B71EF6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372FD30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hint="eastAsia" w:ascii="Times New Roman"/>
                <w:snapToGrid w:val="0"/>
                <w:color w:val="auto"/>
                <w:kern w:val="21"/>
                <w:sz w:val="21"/>
                <w:szCs w:val="21"/>
              </w:rPr>
              <w:t>SS</w:t>
            </w:r>
          </w:p>
        </w:tc>
        <w:tc>
          <w:tcPr>
            <w:tcW w:w="1701" w:type="dxa"/>
            <w:vAlign w:val="center"/>
          </w:tcPr>
          <w:p w14:paraId="6914C05C">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7B96D14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7F8C288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698EEB0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0.02585 </w:t>
            </w:r>
            <w:r>
              <w:rPr>
                <w:rFonts w:hint="eastAsia" w:ascii="Times New Roman" w:hAnsi="Times New Roman" w:cs="Times New Roman"/>
                <w:snapToGrid w:val="0"/>
                <w:color w:val="auto"/>
                <w:kern w:val="21"/>
                <w:sz w:val="21"/>
                <w:szCs w:val="21"/>
              </w:rPr>
              <w:t>t/a</w:t>
            </w:r>
          </w:p>
        </w:tc>
        <w:tc>
          <w:tcPr>
            <w:tcW w:w="1462" w:type="dxa"/>
            <w:vAlign w:val="center"/>
          </w:tcPr>
          <w:p w14:paraId="409CFF8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AA27B62">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 xml:space="preserve">0.02585 </w:t>
            </w:r>
            <w:r>
              <w:rPr>
                <w:rFonts w:hint="eastAsia" w:ascii="Times New Roman" w:hAnsi="Times New Roman" w:cs="Times New Roman"/>
                <w:snapToGrid w:val="0"/>
                <w:color w:val="auto"/>
                <w:kern w:val="21"/>
                <w:sz w:val="21"/>
                <w:szCs w:val="21"/>
              </w:rPr>
              <w:t>t/a</w:t>
            </w:r>
          </w:p>
        </w:tc>
        <w:tc>
          <w:tcPr>
            <w:tcW w:w="1584" w:type="dxa"/>
            <w:vAlign w:val="center"/>
          </w:tcPr>
          <w:p w14:paraId="20E98CB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 xml:space="preserve">+0.02585 </w:t>
            </w:r>
            <w:r>
              <w:rPr>
                <w:rFonts w:hint="eastAsia" w:ascii="Times New Roman" w:hAnsi="Times New Roman" w:cs="Times New Roman"/>
                <w:snapToGrid w:val="0"/>
                <w:color w:val="auto"/>
                <w:kern w:val="21"/>
                <w:sz w:val="21"/>
                <w:szCs w:val="21"/>
              </w:rPr>
              <w:t>t/a</w:t>
            </w:r>
          </w:p>
        </w:tc>
      </w:tr>
      <w:tr w14:paraId="3F171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42BBAF3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6CFBAFA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石油类</w:t>
            </w:r>
          </w:p>
        </w:tc>
        <w:tc>
          <w:tcPr>
            <w:tcW w:w="1701" w:type="dxa"/>
            <w:vAlign w:val="center"/>
          </w:tcPr>
          <w:p w14:paraId="3FAD659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6BE80A7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1D44D72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5A436BD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219</w:t>
            </w:r>
            <w:r>
              <w:rPr>
                <w:rFonts w:hint="eastAsia" w:ascii="Times New Roman" w:hAnsi="Times New Roman" w:eastAsia="宋体" w:cs="Times New Roman"/>
                <w:snapToGrid w:val="0"/>
                <w:color w:val="auto"/>
                <w:kern w:val="21"/>
                <w:sz w:val="21"/>
                <w:szCs w:val="21"/>
                <w:lang w:val="en-US" w:eastAsia="zh-CN"/>
              </w:rPr>
              <w:t xml:space="preserve"> </w:t>
            </w:r>
            <w:r>
              <w:rPr>
                <w:rFonts w:hint="eastAsia" w:ascii="Times New Roman" w:hAnsi="Times New Roman" w:cs="Times New Roman"/>
                <w:snapToGrid w:val="0"/>
                <w:color w:val="auto"/>
                <w:kern w:val="21"/>
                <w:sz w:val="21"/>
                <w:szCs w:val="21"/>
              </w:rPr>
              <w:t>t/a</w:t>
            </w:r>
          </w:p>
        </w:tc>
        <w:tc>
          <w:tcPr>
            <w:tcW w:w="1462" w:type="dxa"/>
            <w:vAlign w:val="center"/>
          </w:tcPr>
          <w:p w14:paraId="46912FE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481B380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219</w:t>
            </w:r>
            <w:r>
              <w:rPr>
                <w:rFonts w:hint="eastAsia" w:ascii="Times New Roman" w:hAnsi="Times New Roman" w:eastAsia="宋体" w:cs="Times New Roman"/>
                <w:snapToGrid w:val="0"/>
                <w:color w:val="auto"/>
                <w:kern w:val="21"/>
                <w:sz w:val="21"/>
                <w:szCs w:val="21"/>
                <w:lang w:val="en-US" w:eastAsia="zh-CN"/>
              </w:rPr>
              <w:t xml:space="preserve"> </w:t>
            </w:r>
            <w:r>
              <w:rPr>
                <w:rFonts w:hint="eastAsia" w:ascii="Times New Roman" w:hAnsi="Times New Roman" w:cs="Times New Roman"/>
                <w:snapToGrid w:val="0"/>
                <w:color w:val="auto"/>
                <w:kern w:val="21"/>
                <w:sz w:val="21"/>
                <w:szCs w:val="21"/>
              </w:rPr>
              <w:t>t/a</w:t>
            </w:r>
          </w:p>
        </w:tc>
        <w:tc>
          <w:tcPr>
            <w:tcW w:w="1584" w:type="dxa"/>
            <w:vAlign w:val="center"/>
          </w:tcPr>
          <w:p w14:paraId="5ACF3A8B">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lang w:eastAsia="zh-CN"/>
              </w:rPr>
            </w:pPr>
            <w:r>
              <w:rPr>
                <w:rFonts w:hint="eastAsia" w:ascii="Times New Roman" w:hAnsi="Times New Roman" w:eastAsia="宋体" w:cs="Times New Roman"/>
                <w:snapToGrid w:val="0"/>
                <w:color w:val="auto"/>
                <w:kern w:val="21"/>
                <w:sz w:val="21"/>
                <w:szCs w:val="21"/>
                <w:lang w:val="en-US" w:eastAsia="zh-CN"/>
              </w:rPr>
              <w:t>+0.00</w:t>
            </w:r>
            <w:r>
              <w:rPr>
                <w:rFonts w:hint="eastAsia" w:ascii="Times New Roman" w:cs="Times New Roman"/>
                <w:snapToGrid w:val="0"/>
                <w:color w:val="auto"/>
                <w:kern w:val="21"/>
                <w:sz w:val="21"/>
                <w:szCs w:val="21"/>
                <w:lang w:val="en-US" w:eastAsia="zh-CN"/>
              </w:rPr>
              <w:t>219</w:t>
            </w:r>
            <w:r>
              <w:rPr>
                <w:rFonts w:hint="eastAsia" w:ascii="Times New Roman" w:hAnsi="Times New Roman" w:eastAsia="宋体" w:cs="Times New Roman"/>
                <w:snapToGrid w:val="0"/>
                <w:color w:val="auto"/>
                <w:kern w:val="21"/>
                <w:sz w:val="21"/>
                <w:szCs w:val="21"/>
                <w:lang w:val="en-US" w:eastAsia="zh-CN"/>
              </w:rPr>
              <w:t xml:space="preserve"> </w:t>
            </w:r>
            <w:r>
              <w:rPr>
                <w:rFonts w:hint="eastAsia" w:ascii="Times New Roman" w:hAnsi="Times New Roman" w:cs="Times New Roman"/>
                <w:snapToGrid w:val="0"/>
                <w:color w:val="auto"/>
                <w:kern w:val="21"/>
                <w:sz w:val="21"/>
                <w:szCs w:val="21"/>
              </w:rPr>
              <w:t>t/a</w:t>
            </w:r>
          </w:p>
        </w:tc>
      </w:tr>
      <w:tr w14:paraId="5877F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01B283B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180E6B3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snapToGrid w:val="0"/>
                <w:color w:val="auto"/>
                <w:kern w:val="21"/>
                <w:sz w:val="21"/>
                <w:szCs w:val="21"/>
              </w:rPr>
            </w:pPr>
            <w:r>
              <w:rPr>
                <w:rFonts w:hint="eastAsia" w:ascii="Times New Roman"/>
                <w:snapToGrid w:val="0"/>
                <w:color w:val="auto"/>
                <w:kern w:val="21"/>
                <w:sz w:val="21"/>
                <w:szCs w:val="21"/>
              </w:rPr>
              <w:t>NH</w:t>
            </w:r>
            <w:r>
              <w:rPr>
                <w:rFonts w:hint="eastAsia" w:ascii="Times New Roman"/>
                <w:snapToGrid w:val="0"/>
                <w:color w:val="auto"/>
                <w:kern w:val="21"/>
                <w:sz w:val="21"/>
                <w:szCs w:val="21"/>
                <w:vertAlign w:val="subscript"/>
              </w:rPr>
              <w:t>3</w:t>
            </w:r>
            <w:r>
              <w:rPr>
                <w:rFonts w:hint="eastAsia" w:ascii="Times New Roman"/>
                <w:snapToGrid w:val="0"/>
                <w:color w:val="auto"/>
                <w:kern w:val="21"/>
                <w:sz w:val="21"/>
                <w:szCs w:val="21"/>
              </w:rPr>
              <w:t>-N</w:t>
            </w:r>
          </w:p>
        </w:tc>
        <w:tc>
          <w:tcPr>
            <w:tcW w:w="1701" w:type="dxa"/>
            <w:vAlign w:val="center"/>
          </w:tcPr>
          <w:p w14:paraId="00C8654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307F4B5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0086F5E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2FEEB85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0.00308 </w:t>
            </w:r>
            <w:r>
              <w:rPr>
                <w:rFonts w:hint="eastAsia" w:ascii="Times New Roman" w:hAnsi="Times New Roman" w:cs="Times New Roman"/>
                <w:snapToGrid w:val="0"/>
                <w:color w:val="auto"/>
                <w:kern w:val="21"/>
                <w:sz w:val="21"/>
                <w:szCs w:val="21"/>
              </w:rPr>
              <w:t>t/a</w:t>
            </w:r>
          </w:p>
        </w:tc>
        <w:tc>
          <w:tcPr>
            <w:tcW w:w="1462" w:type="dxa"/>
            <w:vAlign w:val="center"/>
          </w:tcPr>
          <w:p w14:paraId="36BE56E8">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5F611CD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0.00308 </w:t>
            </w:r>
            <w:r>
              <w:rPr>
                <w:rFonts w:hint="eastAsia" w:ascii="Times New Roman" w:hAnsi="Times New Roman" w:cs="Times New Roman"/>
                <w:snapToGrid w:val="0"/>
                <w:color w:val="auto"/>
                <w:kern w:val="21"/>
                <w:sz w:val="21"/>
                <w:szCs w:val="21"/>
              </w:rPr>
              <w:t>t/a</w:t>
            </w:r>
          </w:p>
        </w:tc>
        <w:tc>
          <w:tcPr>
            <w:tcW w:w="1584" w:type="dxa"/>
            <w:vAlign w:val="center"/>
          </w:tcPr>
          <w:p w14:paraId="1D24E2F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+0.00308 </w:t>
            </w:r>
            <w:r>
              <w:rPr>
                <w:rFonts w:hint="eastAsia" w:ascii="Times New Roman" w:hAnsi="Times New Roman" w:cs="Times New Roman"/>
                <w:snapToGrid w:val="0"/>
                <w:color w:val="auto"/>
                <w:kern w:val="21"/>
                <w:sz w:val="21"/>
                <w:szCs w:val="21"/>
              </w:rPr>
              <w:t>t/a</w:t>
            </w:r>
          </w:p>
        </w:tc>
      </w:tr>
      <w:tr w14:paraId="3F030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73D6B78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54942D9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总磷</w:t>
            </w:r>
          </w:p>
        </w:tc>
        <w:tc>
          <w:tcPr>
            <w:tcW w:w="1701" w:type="dxa"/>
            <w:vAlign w:val="center"/>
          </w:tcPr>
          <w:p w14:paraId="3F21A34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67757D17">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42E0A3A4">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047DF62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0.00003 </w:t>
            </w:r>
            <w:r>
              <w:rPr>
                <w:rFonts w:hint="eastAsia" w:ascii="Times New Roman" w:hAnsi="Times New Roman" w:cs="Times New Roman"/>
                <w:snapToGrid w:val="0"/>
                <w:color w:val="auto"/>
                <w:kern w:val="21"/>
                <w:sz w:val="21"/>
                <w:szCs w:val="21"/>
              </w:rPr>
              <w:t>t/a</w:t>
            </w:r>
          </w:p>
        </w:tc>
        <w:tc>
          <w:tcPr>
            <w:tcW w:w="1462" w:type="dxa"/>
            <w:vAlign w:val="center"/>
          </w:tcPr>
          <w:p w14:paraId="300BD44B">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71AA609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0.00003 </w:t>
            </w:r>
            <w:r>
              <w:rPr>
                <w:rFonts w:hint="eastAsia" w:ascii="Times New Roman" w:hAnsi="Times New Roman" w:cs="Times New Roman"/>
                <w:snapToGrid w:val="0"/>
                <w:color w:val="auto"/>
                <w:kern w:val="21"/>
                <w:sz w:val="21"/>
                <w:szCs w:val="21"/>
              </w:rPr>
              <w:t>t/a</w:t>
            </w:r>
          </w:p>
        </w:tc>
        <w:tc>
          <w:tcPr>
            <w:tcW w:w="1584" w:type="dxa"/>
            <w:vAlign w:val="center"/>
          </w:tcPr>
          <w:p w14:paraId="1A27E8D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+0.00003 </w:t>
            </w:r>
            <w:r>
              <w:rPr>
                <w:rFonts w:hint="eastAsia" w:ascii="Times New Roman" w:hAnsi="Times New Roman" w:cs="Times New Roman"/>
                <w:snapToGrid w:val="0"/>
                <w:color w:val="auto"/>
                <w:kern w:val="21"/>
                <w:sz w:val="21"/>
                <w:szCs w:val="21"/>
              </w:rPr>
              <w:t>t/a</w:t>
            </w:r>
          </w:p>
        </w:tc>
      </w:tr>
      <w:tr w14:paraId="51500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3AF5A8A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7A6E31A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总氮</w:t>
            </w:r>
          </w:p>
        </w:tc>
        <w:tc>
          <w:tcPr>
            <w:tcW w:w="1701" w:type="dxa"/>
            <w:vAlign w:val="center"/>
          </w:tcPr>
          <w:p w14:paraId="2E1679E1">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14D2967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2C08D4F2">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311BA64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0.00007 </w:t>
            </w:r>
            <w:r>
              <w:rPr>
                <w:rFonts w:hint="eastAsia" w:ascii="Times New Roman" w:hAnsi="Times New Roman" w:cs="Times New Roman"/>
                <w:snapToGrid w:val="0"/>
                <w:color w:val="auto"/>
                <w:kern w:val="21"/>
                <w:sz w:val="21"/>
                <w:szCs w:val="21"/>
              </w:rPr>
              <w:t>t/a</w:t>
            </w:r>
          </w:p>
        </w:tc>
        <w:tc>
          <w:tcPr>
            <w:tcW w:w="1462" w:type="dxa"/>
            <w:vAlign w:val="center"/>
          </w:tcPr>
          <w:p w14:paraId="73490EEE">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DBF4AE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0.00007 </w:t>
            </w:r>
            <w:r>
              <w:rPr>
                <w:rFonts w:hint="eastAsia" w:ascii="Times New Roman" w:hAnsi="Times New Roman" w:cs="Times New Roman"/>
                <w:snapToGrid w:val="0"/>
                <w:color w:val="auto"/>
                <w:kern w:val="21"/>
                <w:sz w:val="21"/>
                <w:szCs w:val="21"/>
              </w:rPr>
              <w:t>t/a</w:t>
            </w:r>
          </w:p>
        </w:tc>
        <w:tc>
          <w:tcPr>
            <w:tcW w:w="1584" w:type="dxa"/>
            <w:vAlign w:val="center"/>
          </w:tcPr>
          <w:p w14:paraId="3DEADA1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+0.00007 </w:t>
            </w:r>
            <w:r>
              <w:rPr>
                <w:rFonts w:hint="eastAsia" w:ascii="Times New Roman" w:hAnsi="Times New Roman" w:cs="Times New Roman"/>
                <w:snapToGrid w:val="0"/>
                <w:color w:val="auto"/>
                <w:kern w:val="21"/>
                <w:sz w:val="21"/>
                <w:szCs w:val="21"/>
              </w:rPr>
              <w:t>t/a</w:t>
            </w:r>
          </w:p>
        </w:tc>
      </w:tr>
      <w:tr w14:paraId="5A366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0091569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7133C63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eastAsia="宋体"/>
                <w:snapToGrid w:val="0"/>
                <w:color w:val="auto"/>
                <w:kern w:val="21"/>
                <w:sz w:val="21"/>
                <w:szCs w:val="21"/>
                <w:lang w:val="en-US" w:eastAsia="zh-CN"/>
              </w:rPr>
            </w:pPr>
            <w:r>
              <w:rPr>
                <w:rFonts w:hint="eastAsia" w:ascii="Times New Roman"/>
                <w:snapToGrid w:val="0"/>
                <w:color w:val="auto"/>
                <w:kern w:val="21"/>
                <w:sz w:val="21"/>
                <w:szCs w:val="21"/>
                <w:lang w:val="en-US" w:eastAsia="zh-CN"/>
              </w:rPr>
              <w:t>LAS</w:t>
            </w:r>
          </w:p>
        </w:tc>
        <w:tc>
          <w:tcPr>
            <w:tcW w:w="1701" w:type="dxa"/>
            <w:vAlign w:val="center"/>
          </w:tcPr>
          <w:p w14:paraId="39DB7E3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60971A1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261AF84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7B3874F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0.00034 </w:t>
            </w:r>
            <w:r>
              <w:rPr>
                <w:rFonts w:hint="eastAsia" w:ascii="Times New Roman" w:hAnsi="Times New Roman" w:cs="Times New Roman"/>
                <w:snapToGrid w:val="0"/>
                <w:color w:val="auto"/>
                <w:kern w:val="21"/>
                <w:sz w:val="21"/>
                <w:szCs w:val="21"/>
              </w:rPr>
              <w:t>t/a</w:t>
            </w:r>
          </w:p>
        </w:tc>
        <w:tc>
          <w:tcPr>
            <w:tcW w:w="1462" w:type="dxa"/>
            <w:vAlign w:val="center"/>
          </w:tcPr>
          <w:p w14:paraId="44F3319A">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66A57F6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0.00034 </w:t>
            </w:r>
            <w:r>
              <w:rPr>
                <w:rFonts w:hint="eastAsia" w:ascii="Times New Roman" w:hAnsi="Times New Roman" w:cs="Times New Roman"/>
                <w:snapToGrid w:val="0"/>
                <w:color w:val="auto"/>
                <w:kern w:val="21"/>
                <w:sz w:val="21"/>
                <w:szCs w:val="21"/>
              </w:rPr>
              <w:t>t/a</w:t>
            </w:r>
          </w:p>
        </w:tc>
        <w:tc>
          <w:tcPr>
            <w:tcW w:w="1584" w:type="dxa"/>
            <w:vAlign w:val="center"/>
          </w:tcPr>
          <w:p w14:paraId="0DB496B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+0.00034 </w:t>
            </w:r>
            <w:r>
              <w:rPr>
                <w:rFonts w:hint="eastAsia" w:ascii="Times New Roman" w:hAnsi="Times New Roman" w:cs="Times New Roman"/>
                <w:snapToGrid w:val="0"/>
                <w:color w:val="auto"/>
                <w:kern w:val="21"/>
                <w:sz w:val="21"/>
                <w:szCs w:val="21"/>
              </w:rPr>
              <w:t>t/a</w:t>
            </w:r>
          </w:p>
        </w:tc>
      </w:tr>
      <w:tr w14:paraId="1EFE7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6D3A9F6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highlight w:val="yellow"/>
              </w:rPr>
            </w:pPr>
          </w:p>
        </w:tc>
        <w:tc>
          <w:tcPr>
            <w:tcW w:w="1908" w:type="dxa"/>
            <w:vAlign w:val="center"/>
          </w:tcPr>
          <w:p w14:paraId="31B6E4E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动植物油</w:t>
            </w:r>
          </w:p>
        </w:tc>
        <w:tc>
          <w:tcPr>
            <w:tcW w:w="1701" w:type="dxa"/>
            <w:vAlign w:val="center"/>
          </w:tcPr>
          <w:p w14:paraId="5E866FF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7DF6C5C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791607B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504A441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 xml:space="preserve">0.01010 </w:t>
            </w:r>
            <w:r>
              <w:rPr>
                <w:rFonts w:hint="eastAsia" w:ascii="Times New Roman" w:hAnsi="Times New Roman" w:cs="Times New Roman"/>
                <w:snapToGrid w:val="0"/>
                <w:color w:val="auto"/>
                <w:kern w:val="21"/>
                <w:sz w:val="21"/>
                <w:szCs w:val="21"/>
              </w:rPr>
              <w:t>t/a</w:t>
            </w:r>
          </w:p>
        </w:tc>
        <w:tc>
          <w:tcPr>
            <w:tcW w:w="1462" w:type="dxa"/>
            <w:vAlign w:val="center"/>
          </w:tcPr>
          <w:p w14:paraId="7CE17883">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73462DDD">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0.01010 </w:t>
            </w:r>
            <w:r>
              <w:rPr>
                <w:rFonts w:hint="eastAsia" w:ascii="Times New Roman" w:hAnsi="Times New Roman" w:cs="Times New Roman"/>
                <w:snapToGrid w:val="0"/>
                <w:color w:val="auto"/>
                <w:kern w:val="21"/>
                <w:sz w:val="21"/>
                <w:szCs w:val="21"/>
              </w:rPr>
              <w:t>t/a</w:t>
            </w:r>
          </w:p>
        </w:tc>
        <w:tc>
          <w:tcPr>
            <w:tcW w:w="1584" w:type="dxa"/>
            <w:vAlign w:val="center"/>
          </w:tcPr>
          <w:p w14:paraId="761E66EB">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lang w:val="en-US" w:eastAsia="zh-CN"/>
              </w:rPr>
              <w:t xml:space="preserve">+0.01010 </w:t>
            </w:r>
            <w:r>
              <w:rPr>
                <w:rFonts w:hint="eastAsia" w:ascii="Times New Roman" w:hAnsi="Times New Roman" w:cs="Times New Roman"/>
                <w:snapToGrid w:val="0"/>
                <w:color w:val="auto"/>
                <w:kern w:val="21"/>
                <w:sz w:val="21"/>
                <w:szCs w:val="21"/>
              </w:rPr>
              <w:t>t/a</w:t>
            </w:r>
          </w:p>
        </w:tc>
      </w:tr>
      <w:tr w14:paraId="65394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580604D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eastAsia="宋体"/>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生活垃圾</w:t>
            </w:r>
          </w:p>
        </w:tc>
        <w:tc>
          <w:tcPr>
            <w:tcW w:w="1908" w:type="dxa"/>
            <w:vAlign w:val="center"/>
          </w:tcPr>
          <w:p w14:paraId="373CDDB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snapToGrid w:val="0"/>
                <w:color w:val="auto"/>
                <w:kern w:val="21"/>
                <w:sz w:val="21"/>
                <w:szCs w:val="21"/>
                <w:highlight w:val="none"/>
                <w:lang w:val="en-US" w:eastAsia="zh-CN"/>
              </w:rPr>
            </w:pPr>
            <w:r>
              <w:rPr>
                <w:rFonts w:hint="eastAsia" w:ascii="Times New Roman"/>
                <w:snapToGrid w:val="0"/>
                <w:color w:val="auto"/>
                <w:kern w:val="21"/>
                <w:sz w:val="21"/>
                <w:szCs w:val="21"/>
                <w:highlight w:val="none"/>
                <w:lang w:val="en-US" w:eastAsia="zh-CN"/>
              </w:rPr>
              <w:t>生活垃圾</w:t>
            </w:r>
          </w:p>
        </w:tc>
        <w:tc>
          <w:tcPr>
            <w:tcW w:w="1701" w:type="dxa"/>
            <w:vAlign w:val="center"/>
          </w:tcPr>
          <w:p w14:paraId="7CBEAE3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3471E424">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203854D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68FC3E8C">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default"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2.1</w:t>
            </w:r>
            <w:r>
              <w:rPr>
                <w:rFonts w:hint="eastAsia" w:ascii="Times New Roman" w:hAnsi="Times New Roman" w:cs="Times New Roman"/>
                <w:snapToGrid w:val="0"/>
                <w:color w:val="auto"/>
                <w:kern w:val="21"/>
                <w:sz w:val="21"/>
                <w:szCs w:val="21"/>
              </w:rPr>
              <w:t>t/a</w:t>
            </w:r>
          </w:p>
        </w:tc>
        <w:tc>
          <w:tcPr>
            <w:tcW w:w="1462" w:type="dxa"/>
            <w:vAlign w:val="center"/>
          </w:tcPr>
          <w:p w14:paraId="5B04F9FE">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60FFD73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2.1</w:t>
            </w:r>
            <w:r>
              <w:rPr>
                <w:rFonts w:hint="eastAsia" w:ascii="Times New Roman" w:hAnsi="Times New Roman" w:cs="Times New Roman"/>
                <w:snapToGrid w:val="0"/>
                <w:color w:val="auto"/>
                <w:kern w:val="21"/>
                <w:sz w:val="21"/>
                <w:szCs w:val="21"/>
              </w:rPr>
              <w:t>t/a</w:t>
            </w:r>
          </w:p>
        </w:tc>
        <w:tc>
          <w:tcPr>
            <w:tcW w:w="1584" w:type="dxa"/>
            <w:vAlign w:val="center"/>
          </w:tcPr>
          <w:p w14:paraId="4470FEF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+2.1</w:t>
            </w:r>
            <w:r>
              <w:rPr>
                <w:rFonts w:hint="eastAsia" w:ascii="Times New Roman" w:hAnsi="Times New Roman" w:cs="Times New Roman"/>
                <w:snapToGrid w:val="0"/>
                <w:color w:val="auto"/>
                <w:kern w:val="21"/>
                <w:sz w:val="21"/>
                <w:szCs w:val="21"/>
              </w:rPr>
              <w:t>t/a</w:t>
            </w:r>
          </w:p>
        </w:tc>
      </w:tr>
      <w:tr w14:paraId="4EAE7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restart"/>
            <w:vAlign w:val="center"/>
          </w:tcPr>
          <w:p w14:paraId="4BF360D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ascii="Times New Roman"/>
                <w:snapToGrid w:val="0"/>
                <w:color w:val="auto"/>
                <w:kern w:val="21"/>
                <w:sz w:val="21"/>
                <w:szCs w:val="21"/>
              </w:rPr>
              <w:t>一般工业</w:t>
            </w:r>
          </w:p>
          <w:p w14:paraId="3A35E6E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ascii="Times New Roman"/>
                <w:snapToGrid w:val="0"/>
                <w:color w:val="auto"/>
                <w:kern w:val="21"/>
                <w:sz w:val="21"/>
                <w:szCs w:val="21"/>
              </w:rPr>
              <w:t>固体废物</w:t>
            </w:r>
          </w:p>
        </w:tc>
        <w:tc>
          <w:tcPr>
            <w:tcW w:w="1908" w:type="dxa"/>
            <w:vAlign w:val="center"/>
          </w:tcPr>
          <w:p w14:paraId="4E1029E6">
            <w:pPr>
              <w:keepNext w:val="0"/>
              <w:keepLines w:val="0"/>
              <w:widowControl/>
              <w:suppressLineNumbers w:val="0"/>
              <w:jc w:val="center"/>
              <w:textAlignment w:val="center"/>
              <w:rPr>
                <w:rFonts w:hint="default" w:eastAsia="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钢铁</w:t>
            </w:r>
          </w:p>
        </w:tc>
        <w:tc>
          <w:tcPr>
            <w:tcW w:w="1701" w:type="dxa"/>
            <w:vAlign w:val="center"/>
          </w:tcPr>
          <w:p w14:paraId="5974C95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276" w:type="dxa"/>
            <w:vAlign w:val="center"/>
          </w:tcPr>
          <w:p w14:paraId="2192C8A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701" w:type="dxa"/>
            <w:vAlign w:val="center"/>
          </w:tcPr>
          <w:p w14:paraId="1E76BF5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559" w:type="dxa"/>
            <w:vAlign w:val="center"/>
          </w:tcPr>
          <w:p w14:paraId="0CF05C74">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6823</w:t>
            </w:r>
            <w:r>
              <w:rPr>
                <w:rFonts w:hint="eastAsia" w:ascii="Times New Roman" w:hAnsi="Times New Roman" w:cs="Times New Roman"/>
                <w:snapToGrid w:val="0"/>
                <w:color w:val="auto"/>
                <w:kern w:val="21"/>
                <w:sz w:val="21"/>
                <w:szCs w:val="21"/>
              </w:rPr>
              <w:t>t/a</w:t>
            </w:r>
          </w:p>
        </w:tc>
        <w:tc>
          <w:tcPr>
            <w:tcW w:w="1462" w:type="dxa"/>
            <w:vAlign w:val="center"/>
          </w:tcPr>
          <w:p w14:paraId="2E86DDD2">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6AA8C802">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6823</w:t>
            </w:r>
            <w:r>
              <w:rPr>
                <w:rFonts w:hint="eastAsia" w:ascii="Times New Roman" w:hAnsi="Times New Roman" w:cs="Times New Roman"/>
                <w:snapToGrid w:val="0"/>
                <w:color w:val="auto"/>
                <w:kern w:val="21"/>
                <w:sz w:val="21"/>
                <w:szCs w:val="21"/>
              </w:rPr>
              <w:t>t/a</w:t>
            </w:r>
          </w:p>
        </w:tc>
        <w:tc>
          <w:tcPr>
            <w:tcW w:w="1584" w:type="dxa"/>
            <w:vAlign w:val="center"/>
          </w:tcPr>
          <w:p w14:paraId="2C3AA8A1">
            <w:pPr>
              <w:keepNext w:val="0"/>
              <w:keepLines w:val="0"/>
              <w:widowControl/>
              <w:suppressLineNumbers w:val="0"/>
              <w:jc w:val="center"/>
              <w:textAlignment w:val="center"/>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6823</w:t>
            </w:r>
            <w:r>
              <w:rPr>
                <w:rFonts w:hint="eastAsia" w:ascii="Times New Roman" w:hAnsi="Times New Roman" w:cs="Times New Roman"/>
                <w:snapToGrid w:val="0"/>
                <w:color w:val="auto"/>
                <w:kern w:val="21"/>
                <w:sz w:val="21"/>
                <w:szCs w:val="21"/>
              </w:rPr>
              <w:t>t/a</w:t>
            </w:r>
          </w:p>
        </w:tc>
      </w:tr>
      <w:tr w14:paraId="68EF8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1C5B772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7F173F79">
            <w:pPr>
              <w:keepNext w:val="0"/>
              <w:keepLines w:val="0"/>
              <w:widowControl/>
              <w:suppressLineNumbers w:val="0"/>
              <w:jc w:val="center"/>
              <w:textAlignment w:val="center"/>
              <w:rPr>
                <w:rFonts w:hint="default"/>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有色金属</w:t>
            </w:r>
          </w:p>
        </w:tc>
        <w:tc>
          <w:tcPr>
            <w:tcW w:w="1701" w:type="dxa"/>
            <w:vAlign w:val="center"/>
          </w:tcPr>
          <w:p w14:paraId="43A9E5C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276" w:type="dxa"/>
            <w:vAlign w:val="center"/>
          </w:tcPr>
          <w:p w14:paraId="69FE899E">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701" w:type="dxa"/>
            <w:vAlign w:val="center"/>
          </w:tcPr>
          <w:p w14:paraId="74F6C5C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lang w:val="en-US" w:eastAsia="zh-CN"/>
              </w:rPr>
              <w:t>0</w:t>
            </w:r>
          </w:p>
        </w:tc>
        <w:tc>
          <w:tcPr>
            <w:tcW w:w="1559" w:type="dxa"/>
            <w:vAlign w:val="center"/>
          </w:tcPr>
          <w:p w14:paraId="45A4895E">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533.75</w:t>
            </w:r>
            <w:r>
              <w:rPr>
                <w:rFonts w:hint="eastAsia" w:ascii="Times New Roman" w:hAnsi="Times New Roman" w:cs="Times New Roman"/>
                <w:snapToGrid w:val="0"/>
                <w:color w:val="auto"/>
                <w:kern w:val="21"/>
                <w:sz w:val="21"/>
                <w:szCs w:val="21"/>
              </w:rPr>
              <w:t>t/a</w:t>
            </w:r>
          </w:p>
        </w:tc>
        <w:tc>
          <w:tcPr>
            <w:tcW w:w="1462" w:type="dxa"/>
            <w:vAlign w:val="center"/>
          </w:tcPr>
          <w:p w14:paraId="73C6E161">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E99764F">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533.75</w:t>
            </w:r>
            <w:r>
              <w:rPr>
                <w:rFonts w:hint="eastAsia" w:ascii="Times New Roman" w:hAnsi="Times New Roman" w:cs="Times New Roman"/>
                <w:snapToGrid w:val="0"/>
                <w:color w:val="auto"/>
                <w:kern w:val="21"/>
                <w:sz w:val="21"/>
                <w:szCs w:val="21"/>
              </w:rPr>
              <w:t>t/a</w:t>
            </w:r>
          </w:p>
        </w:tc>
        <w:tc>
          <w:tcPr>
            <w:tcW w:w="1584" w:type="dxa"/>
            <w:vAlign w:val="center"/>
          </w:tcPr>
          <w:p w14:paraId="5724FEC5">
            <w:pPr>
              <w:keepNext w:val="0"/>
              <w:keepLines w:val="0"/>
              <w:widowControl/>
              <w:suppressLineNumbers w:val="0"/>
              <w:jc w:val="center"/>
              <w:textAlignment w:val="center"/>
              <w:rPr>
                <w:rFonts w:hint="eastAsia" w:ascii="Times New Roman" w:hAnsi="Times New Roman" w:cs="Times New Roman"/>
                <w:snapToGrid w:val="0"/>
                <w:color w:val="auto"/>
                <w:kern w:val="21"/>
                <w:sz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533.75</w:t>
            </w:r>
            <w:r>
              <w:rPr>
                <w:rFonts w:hint="eastAsia" w:ascii="Times New Roman" w:hAnsi="Times New Roman" w:cs="Times New Roman"/>
                <w:snapToGrid w:val="0"/>
                <w:color w:val="auto"/>
                <w:kern w:val="21"/>
                <w:sz w:val="21"/>
                <w:szCs w:val="21"/>
              </w:rPr>
              <w:t>t/a</w:t>
            </w:r>
          </w:p>
        </w:tc>
      </w:tr>
      <w:tr w14:paraId="2CB34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3290A7E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46850338">
            <w:pPr>
              <w:keepNext w:val="0"/>
              <w:keepLines w:val="0"/>
              <w:widowControl/>
              <w:suppressLineNumbers w:val="0"/>
              <w:jc w:val="center"/>
              <w:textAlignment w:val="center"/>
              <w:rPr>
                <w:color w:val="auto"/>
                <w:sz w:val="21"/>
                <w:szCs w:val="21"/>
              </w:rPr>
            </w:pPr>
            <w:r>
              <w:rPr>
                <w:rFonts w:hint="eastAsia" w:ascii="宋体" w:hAnsi="宋体" w:eastAsia="宋体" w:cs="宋体"/>
                <w:i w:val="0"/>
                <w:iCs w:val="0"/>
                <w:color w:val="000000"/>
                <w:kern w:val="0"/>
                <w:sz w:val="21"/>
                <w:szCs w:val="21"/>
                <w:u w:val="none"/>
                <w:lang w:val="en-US" w:eastAsia="zh-CN" w:bidi="ar"/>
              </w:rPr>
              <w:t>塑料</w:t>
            </w:r>
          </w:p>
        </w:tc>
        <w:tc>
          <w:tcPr>
            <w:tcW w:w="1701" w:type="dxa"/>
            <w:vAlign w:val="center"/>
          </w:tcPr>
          <w:p w14:paraId="3F90E61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2B4346C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137862A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4F70666D">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206</w:t>
            </w:r>
            <w:r>
              <w:rPr>
                <w:rFonts w:hint="eastAsia" w:ascii="Times New Roman" w:hAnsi="Times New Roman" w:cs="Times New Roman"/>
                <w:snapToGrid w:val="0"/>
                <w:color w:val="auto"/>
                <w:kern w:val="21"/>
                <w:sz w:val="21"/>
                <w:szCs w:val="21"/>
              </w:rPr>
              <w:t>t/a</w:t>
            </w:r>
          </w:p>
        </w:tc>
        <w:tc>
          <w:tcPr>
            <w:tcW w:w="1462" w:type="dxa"/>
            <w:vAlign w:val="center"/>
          </w:tcPr>
          <w:p w14:paraId="5FA64423">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521B6E20">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206</w:t>
            </w:r>
            <w:r>
              <w:rPr>
                <w:rFonts w:hint="eastAsia" w:ascii="Times New Roman" w:hAnsi="Times New Roman" w:cs="Times New Roman"/>
                <w:snapToGrid w:val="0"/>
                <w:color w:val="auto"/>
                <w:kern w:val="21"/>
                <w:sz w:val="21"/>
                <w:szCs w:val="21"/>
              </w:rPr>
              <w:t>t/a</w:t>
            </w:r>
          </w:p>
        </w:tc>
        <w:tc>
          <w:tcPr>
            <w:tcW w:w="1584" w:type="dxa"/>
            <w:vAlign w:val="center"/>
          </w:tcPr>
          <w:p w14:paraId="16C2974B">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206</w:t>
            </w:r>
            <w:r>
              <w:rPr>
                <w:rFonts w:hint="eastAsia" w:ascii="Times New Roman" w:hAnsi="Times New Roman" w:cs="Times New Roman"/>
                <w:snapToGrid w:val="0"/>
                <w:color w:val="auto"/>
                <w:kern w:val="21"/>
                <w:sz w:val="21"/>
                <w:szCs w:val="21"/>
              </w:rPr>
              <w:t>t/a</w:t>
            </w:r>
          </w:p>
        </w:tc>
      </w:tr>
      <w:tr w14:paraId="386D5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33D93A0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0C023F28">
            <w:pPr>
              <w:keepNext w:val="0"/>
              <w:keepLines w:val="0"/>
              <w:widowControl/>
              <w:suppressLineNumbers w:val="0"/>
              <w:jc w:val="center"/>
              <w:textAlignment w:val="center"/>
              <w:rPr>
                <w:color w:val="auto"/>
                <w:sz w:val="21"/>
                <w:szCs w:val="21"/>
              </w:rPr>
            </w:pPr>
            <w:r>
              <w:rPr>
                <w:rFonts w:hint="eastAsia" w:ascii="宋体" w:hAnsi="宋体" w:eastAsia="宋体" w:cs="宋体"/>
                <w:i w:val="0"/>
                <w:iCs w:val="0"/>
                <w:color w:val="000000"/>
                <w:kern w:val="0"/>
                <w:sz w:val="21"/>
                <w:szCs w:val="21"/>
                <w:u w:val="none"/>
                <w:lang w:val="en-US" w:eastAsia="zh-CN" w:bidi="ar"/>
              </w:rPr>
              <w:t>橡胶</w:t>
            </w:r>
          </w:p>
        </w:tc>
        <w:tc>
          <w:tcPr>
            <w:tcW w:w="1701" w:type="dxa"/>
            <w:vAlign w:val="center"/>
          </w:tcPr>
          <w:p w14:paraId="116D085B">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43CAA879">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0CD15691">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6EA61ECD">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203.75</w:t>
            </w:r>
            <w:r>
              <w:rPr>
                <w:rFonts w:hint="eastAsia" w:ascii="Times New Roman" w:hAnsi="Times New Roman" w:cs="Times New Roman"/>
                <w:snapToGrid w:val="0"/>
                <w:color w:val="auto"/>
                <w:kern w:val="21"/>
                <w:sz w:val="21"/>
                <w:szCs w:val="21"/>
              </w:rPr>
              <w:t>t/a</w:t>
            </w:r>
          </w:p>
        </w:tc>
        <w:tc>
          <w:tcPr>
            <w:tcW w:w="1462" w:type="dxa"/>
            <w:vAlign w:val="center"/>
          </w:tcPr>
          <w:p w14:paraId="178FDB34">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31A4DC9">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203.75</w:t>
            </w:r>
            <w:r>
              <w:rPr>
                <w:rFonts w:hint="eastAsia" w:ascii="Times New Roman" w:hAnsi="Times New Roman" w:cs="Times New Roman"/>
                <w:snapToGrid w:val="0"/>
                <w:color w:val="auto"/>
                <w:kern w:val="21"/>
                <w:sz w:val="21"/>
                <w:szCs w:val="21"/>
              </w:rPr>
              <w:t>t/a</w:t>
            </w:r>
          </w:p>
        </w:tc>
        <w:tc>
          <w:tcPr>
            <w:tcW w:w="1584" w:type="dxa"/>
            <w:vAlign w:val="center"/>
          </w:tcPr>
          <w:p w14:paraId="44E1B893">
            <w:pPr>
              <w:keepNext w:val="0"/>
              <w:keepLines w:val="0"/>
              <w:widowControl/>
              <w:suppressLineNumbers w:val="0"/>
              <w:jc w:val="center"/>
              <w:textAlignment w:val="center"/>
              <w:rPr>
                <w:rFonts w:ascii="Times New Roman" w:hAnsi="Times New Roman" w:cs="Times New Roman"/>
                <w:snapToGrid w:val="0"/>
                <w:color w:val="auto"/>
                <w:kern w:val="21"/>
                <w:sz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203.75</w:t>
            </w:r>
            <w:r>
              <w:rPr>
                <w:rFonts w:hint="eastAsia" w:ascii="Times New Roman" w:hAnsi="Times New Roman" w:cs="Times New Roman"/>
                <w:snapToGrid w:val="0"/>
                <w:color w:val="auto"/>
                <w:kern w:val="21"/>
                <w:sz w:val="21"/>
                <w:szCs w:val="21"/>
              </w:rPr>
              <w:t>t/a</w:t>
            </w:r>
          </w:p>
        </w:tc>
      </w:tr>
      <w:tr w14:paraId="763A0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3E5134C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4893468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不可利用材料</w:t>
            </w:r>
          </w:p>
        </w:tc>
        <w:tc>
          <w:tcPr>
            <w:tcW w:w="1701" w:type="dxa"/>
            <w:vAlign w:val="center"/>
          </w:tcPr>
          <w:p w14:paraId="2D3CD20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5A21307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43D74111">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shd w:val="clear" w:color="auto" w:fill="auto"/>
            <w:vAlign w:val="center"/>
          </w:tcPr>
          <w:p w14:paraId="5B977BE8">
            <w:pPr>
              <w:keepNext w:val="0"/>
              <w:keepLines w:val="0"/>
              <w:widowControl/>
              <w:suppressLineNumbers w:val="0"/>
              <w:jc w:val="center"/>
              <w:textAlignment w:val="center"/>
              <w:rPr>
                <w:rFonts w:hint="eastAsia" w:ascii="Times New Roman" w:hAnsi="Times New Roman" w:cs="Times New Roman"/>
                <w:snapToGrid w:val="0"/>
                <w:color w:val="auto"/>
                <w:kern w:val="21"/>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329.35</w:t>
            </w:r>
            <w:r>
              <w:rPr>
                <w:rFonts w:hint="eastAsia" w:ascii="Times New Roman" w:hAnsi="Times New Roman" w:cs="Times New Roman"/>
                <w:snapToGrid w:val="0"/>
                <w:color w:val="auto"/>
                <w:kern w:val="21"/>
                <w:sz w:val="21"/>
                <w:szCs w:val="21"/>
              </w:rPr>
              <w:t>t/a</w:t>
            </w:r>
          </w:p>
        </w:tc>
        <w:tc>
          <w:tcPr>
            <w:tcW w:w="1462" w:type="dxa"/>
            <w:vAlign w:val="center"/>
          </w:tcPr>
          <w:p w14:paraId="4BB37F28">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446BF67A">
            <w:pPr>
              <w:keepNext w:val="0"/>
              <w:keepLines w:val="0"/>
              <w:widowControl/>
              <w:suppressLineNumbers w:val="0"/>
              <w:jc w:val="center"/>
              <w:textAlignment w:val="center"/>
              <w:rPr>
                <w:rFonts w:hint="eastAsia" w:ascii="Times New Roman" w:hAnsi="Times New Roman" w:cs="Times New Roman"/>
                <w:snapToGrid w:val="0"/>
                <w:color w:val="auto"/>
                <w:kern w:val="21"/>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329.35</w:t>
            </w:r>
            <w:r>
              <w:rPr>
                <w:rFonts w:hint="eastAsia" w:ascii="Times New Roman" w:hAnsi="Times New Roman" w:cs="Times New Roman"/>
                <w:snapToGrid w:val="0"/>
                <w:color w:val="auto"/>
                <w:kern w:val="21"/>
                <w:sz w:val="21"/>
                <w:szCs w:val="21"/>
              </w:rPr>
              <w:t>t/a</w:t>
            </w:r>
          </w:p>
        </w:tc>
        <w:tc>
          <w:tcPr>
            <w:tcW w:w="1584" w:type="dxa"/>
            <w:vAlign w:val="center"/>
          </w:tcPr>
          <w:p w14:paraId="33F9A451">
            <w:pPr>
              <w:keepNext w:val="0"/>
              <w:keepLines w:val="0"/>
              <w:widowControl/>
              <w:suppressLineNumbers w:val="0"/>
              <w:jc w:val="center"/>
              <w:textAlignment w:val="center"/>
              <w:rPr>
                <w:rFonts w:hint="eastAsia" w:ascii="Times New Roman" w:hAnsi="Times New Roman" w:cs="Times New Roman"/>
                <w:snapToGrid w:val="0"/>
                <w:color w:val="auto"/>
                <w:kern w:val="21"/>
                <w:sz w:val="21"/>
                <w:szCs w:val="21"/>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329.35</w:t>
            </w:r>
            <w:r>
              <w:rPr>
                <w:rFonts w:hint="eastAsia" w:ascii="Times New Roman" w:hAnsi="Times New Roman" w:cs="Times New Roman"/>
                <w:snapToGrid w:val="0"/>
                <w:color w:val="auto"/>
                <w:kern w:val="21"/>
                <w:sz w:val="21"/>
                <w:szCs w:val="21"/>
              </w:rPr>
              <w:t>t/a</w:t>
            </w:r>
          </w:p>
        </w:tc>
      </w:tr>
      <w:tr w14:paraId="7A9F9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restart"/>
            <w:vAlign w:val="center"/>
          </w:tcPr>
          <w:p w14:paraId="4E3D701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r>
              <w:rPr>
                <w:rFonts w:ascii="Times New Roman"/>
                <w:snapToGrid w:val="0"/>
                <w:color w:val="auto"/>
                <w:kern w:val="21"/>
                <w:sz w:val="21"/>
                <w:szCs w:val="21"/>
              </w:rPr>
              <w:t>危险废物</w:t>
            </w:r>
          </w:p>
        </w:tc>
        <w:tc>
          <w:tcPr>
            <w:tcW w:w="1908" w:type="dxa"/>
            <w:vAlign w:val="center"/>
          </w:tcPr>
          <w:p w14:paraId="732C42A5">
            <w:pPr>
              <w:keepNext w:val="0"/>
              <w:keepLines w:val="0"/>
              <w:widowControl/>
              <w:suppressLineNumbers w:val="0"/>
              <w:jc w:val="center"/>
              <w:textAlignment w:val="center"/>
              <w:rPr>
                <w:rFonts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废油液</w:t>
            </w:r>
          </w:p>
        </w:tc>
        <w:tc>
          <w:tcPr>
            <w:tcW w:w="1701" w:type="dxa"/>
            <w:vAlign w:val="center"/>
          </w:tcPr>
          <w:p w14:paraId="208E6F52">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3708C04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02ADE9F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5F75114A">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32.725</w:t>
            </w:r>
            <w:r>
              <w:rPr>
                <w:rFonts w:hint="eastAsia" w:ascii="Times New Roman" w:hAnsi="Times New Roman" w:cs="Times New Roman"/>
                <w:snapToGrid w:val="0"/>
                <w:color w:val="auto"/>
                <w:kern w:val="21"/>
                <w:sz w:val="21"/>
                <w:szCs w:val="21"/>
              </w:rPr>
              <w:t>t/a</w:t>
            </w:r>
          </w:p>
        </w:tc>
        <w:tc>
          <w:tcPr>
            <w:tcW w:w="1462" w:type="dxa"/>
            <w:vAlign w:val="center"/>
          </w:tcPr>
          <w:p w14:paraId="2DB400F4">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20AB745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32.725</w:t>
            </w:r>
            <w:r>
              <w:rPr>
                <w:rFonts w:hint="eastAsia" w:ascii="Times New Roman" w:hAnsi="Times New Roman" w:cs="Times New Roman"/>
                <w:snapToGrid w:val="0"/>
                <w:color w:val="auto"/>
                <w:kern w:val="21"/>
                <w:sz w:val="21"/>
                <w:szCs w:val="21"/>
              </w:rPr>
              <w:t>t/a</w:t>
            </w:r>
          </w:p>
        </w:tc>
        <w:tc>
          <w:tcPr>
            <w:tcW w:w="1584" w:type="dxa"/>
            <w:vAlign w:val="center"/>
          </w:tcPr>
          <w:p w14:paraId="6A0AB9E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32.725</w:t>
            </w:r>
            <w:r>
              <w:rPr>
                <w:rFonts w:hint="eastAsia" w:ascii="Times New Roman" w:hAnsi="Times New Roman" w:cs="Times New Roman"/>
                <w:snapToGrid w:val="0"/>
                <w:color w:val="auto"/>
                <w:kern w:val="21"/>
                <w:sz w:val="21"/>
                <w:szCs w:val="21"/>
              </w:rPr>
              <w:t>t/a</w:t>
            </w:r>
          </w:p>
        </w:tc>
      </w:tr>
      <w:tr w14:paraId="520B7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16F68CB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17AE9E0F">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废制冷剂</w:t>
            </w:r>
          </w:p>
        </w:tc>
        <w:tc>
          <w:tcPr>
            <w:tcW w:w="1701" w:type="dxa"/>
            <w:vAlign w:val="center"/>
          </w:tcPr>
          <w:p w14:paraId="27F2B38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407D0BD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8FCB6B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783284F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2.525</w:t>
            </w:r>
            <w:r>
              <w:rPr>
                <w:rFonts w:hint="eastAsia" w:ascii="Times New Roman" w:hAnsi="Times New Roman" w:cs="Times New Roman"/>
                <w:snapToGrid w:val="0"/>
                <w:color w:val="auto"/>
                <w:kern w:val="21"/>
                <w:sz w:val="21"/>
                <w:szCs w:val="21"/>
              </w:rPr>
              <w:t>t/a</w:t>
            </w:r>
          </w:p>
        </w:tc>
        <w:tc>
          <w:tcPr>
            <w:tcW w:w="1462" w:type="dxa"/>
            <w:vAlign w:val="center"/>
          </w:tcPr>
          <w:p w14:paraId="5000C699">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27B9561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2.525</w:t>
            </w:r>
            <w:r>
              <w:rPr>
                <w:rFonts w:hint="eastAsia" w:ascii="Times New Roman" w:hAnsi="Times New Roman" w:cs="Times New Roman"/>
                <w:snapToGrid w:val="0"/>
                <w:color w:val="auto"/>
                <w:kern w:val="21"/>
                <w:sz w:val="21"/>
                <w:szCs w:val="21"/>
              </w:rPr>
              <w:t>t/a</w:t>
            </w:r>
          </w:p>
        </w:tc>
        <w:tc>
          <w:tcPr>
            <w:tcW w:w="1584" w:type="dxa"/>
            <w:vAlign w:val="center"/>
          </w:tcPr>
          <w:p w14:paraId="0E93B471">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2.525</w:t>
            </w:r>
            <w:r>
              <w:rPr>
                <w:rFonts w:hint="eastAsia" w:ascii="Times New Roman" w:hAnsi="Times New Roman" w:cs="Times New Roman"/>
                <w:snapToGrid w:val="0"/>
                <w:color w:val="auto"/>
                <w:kern w:val="21"/>
                <w:sz w:val="21"/>
                <w:szCs w:val="21"/>
              </w:rPr>
              <w:t>t/a</w:t>
            </w:r>
          </w:p>
        </w:tc>
      </w:tr>
      <w:tr w14:paraId="7E2FC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40B1EB3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6CCEDFBB">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废冷却液、防冻液</w:t>
            </w:r>
          </w:p>
        </w:tc>
        <w:tc>
          <w:tcPr>
            <w:tcW w:w="1701" w:type="dxa"/>
            <w:vAlign w:val="center"/>
          </w:tcPr>
          <w:p w14:paraId="3C84BD14">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0999A8B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1ED2BE1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3BA834D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2.5375</w:t>
            </w:r>
            <w:r>
              <w:rPr>
                <w:rFonts w:hint="eastAsia" w:ascii="Times New Roman" w:hAnsi="Times New Roman" w:cs="Times New Roman"/>
                <w:snapToGrid w:val="0"/>
                <w:color w:val="auto"/>
                <w:kern w:val="21"/>
                <w:sz w:val="21"/>
                <w:szCs w:val="21"/>
              </w:rPr>
              <w:t>t/a</w:t>
            </w:r>
          </w:p>
        </w:tc>
        <w:tc>
          <w:tcPr>
            <w:tcW w:w="1462" w:type="dxa"/>
            <w:vAlign w:val="center"/>
          </w:tcPr>
          <w:p w14:paraId="0A85DA94">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7F23B8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2.5375</w:t>
            </w:r>
            <w:r>
              <w:rPr>
                <w:rFonts w:hint="eastAsia" w:ascii="Times New Roman" w:hAnsi="Times New Roman" w:cs="Times New Roman"/>
                <w:snapToGrid w:val="0"/>
                <w:color w:val="auto"/>
                <w:kern w:val="21"/>
                <w:sz w:val="21"/>
                <w:szCs w:val="21"/>
              </w:rPr>
              <w:t>t/a</w:t>
            </w:r>
          </w:p>
        </w:tc>
        <w:tc>
          <w:tcPr>
            <w:tcW w:w="1584" w:type="dxa"/>
            <w:vAlign w:val="center"/>
          </w:tcPr>
          <w:p w14:paraId="4320F10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2.5375</w:t>
            </w:r>
            <w:r>
              <w:rPr>
                <w:rFonts w:hint="eastAsia" w:ascii="Times New Roman" w:hAnsi="Times New Roman" w:cs="Times New Roman"/>
                <w:snapToGrid w:val="0"/>
                <w:color w:val="auto"/>
                <w:kern w:val="21"/>
                <w:sz w:val="21"/>
                <w:szCs w:val="21"/>
              </w:rPr>
              <w:t>t/a</w:t>
            </w:r>
          </w:p>
        </w:tc>
      </w:tr>
      <w:tr w14:paraId="18E71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78CBF77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414796BF">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废尾气催化剂</w:t>
            </w:r>
          </w:p>
        </w:tc>
        <w:tc>
          <w:tcPr>
            <w:tcW w:w="1701" w:type="dxa"/>
            <w:vAlign w:val="center"/>
          </w:tcPr>
          <w:p w14:paraId="6DAB1F3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356C2BB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2912EE0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5CED59CE">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1.275</w:t>
            </w:r>
            <w:r>
              <w:rPr>
                <w:rFonts w:hint="eastAsia" w:ascii="Times New Roman" w:hAnsi="Times New Roman" w:cs="Times New Roman"/>
                <w:snapToGrid w:val="0"/>
                <w:color w:val="auto"/>
                <w:kern w:val="21"/>
                <w:sz w:val="21"/>
                <w:szCs w:val="21"/>
              </w:rPr>
              <w:t>t/a</w:t>
            </w:r>
          </w:p>
        </w:tc>
        <w:tc>
          <w:tcPr>
            <w:tcW w:w="1462" w:type="dxa"/>
            <w:vAlign w:val="center"/>
          </w:tcPr>
          <w:p w14:paraId="0A7E8C2B">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0E8B11F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1.275</w:t>
            </w:r>
            <w:r>
              <w:rPr>
                <w:rFonts w:hint="eastAsia" w:ascii="Times New Roman" w:hAnsi="Times New Roman" w:cs="Times New Roman"/>
                <w:snapToGrid w:val="0"/>
                <w:color w:val="auto"/>
                <w:kern w:val="21"/>
                <w:sz w:val="21"/>
                <w:szCs w:val="21"/>
              </w:rPr>
              <w:t>t/a</w:t>
            </w:r>
          </w:p>
        </w:tc>
        <w:tc>
          <w:tcPr>
            <w:tcW w:w="1584" w:type="dxa"/>
            <w:vAlign w:val="center"/>
          </w:tcPr>
          <w:p w14:paraId="5F100C1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1.275</w:t>
            </w:r>
            <w:r>
              <w:rPr>
                <w:rFonts w:hint="eastAsia" w:ascii="Times New Roman" w:hAnsi="Times New Roman" w:cs="Times New Roman"/>
                <w:snapToGrid w:val="0"/>
                <w:color w:val="auto"/>
                <w:kern w:val="21"/>
                <w:sz w:val="21"/>
                <w:szCs w:val="21"/>
              </w:rPr>
              <w:t>t/a</w:t>
            </w:r>
          </w:p>
        </w:tc>
      </w:tr>
      <w:tr w14:paraId="0C4AC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0A42B1E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6536A8B2">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废铅酸蓄电池</w:t>
            </w:r>
          </w:p>
        </w:tc>
        <w:tc>
          <w:tcPr>
            <w:tcW w:w="1701" w:type="dxa"/>
            <w:vAlign w:val="center"/>
          </w:tcPr>
          <w:p w14:paraId="178894D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7E63A6A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1384C8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09D79AF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75.25</w:t>
            </w:r>
            <w:r>
              <w:rPr>
                <w:rFonts w:hint="eastAsia" w:ascii="Times New Roman" w:hAnsi="Times New Roman" w:cs="Times New Roman"/>
                <w:snapToGrid w:val="0"/>
                <w:color w:val="auto"/>
                <w:kern w:val="21"/>
                <w:sz w:val="21"/>
                <w:szCs w:val="21"/>
              </w:rPr>
              <w:t>t/a</w:t>
            </w:r>
          </w:p>
        </w:tc>
        <w:tc>
          <w:tcPr>
            <w:tcW w:w="1462" w:type="dxa"/>
            <w:vAlign w:val="center"/>
          </w:tcPr>
          <w:p w14:paraId="17C464D8">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25BCDA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75.25</w:t>
            </w:r>
            <w:r>
              <w:rPr>
                <w:rFonts w:hint="eastAsia" w:ascii="Times New Roman" w:hAnsi="Times New Roman" w:cs="Times New Roman"/>
                <w:snapToGrid w:val="0"/>
                <w:color w:val="auto"/>
                <w:kern w:val="21"/>
                <w:sz w:val="21"/>
                <w:szCs w:val="21"/>
              </w:rPr>
              <w:t>t/a</w:t>
            </w:r>
          </w:p>
        </w:tc>
        <w:tc>
          <w:tcPr>
            <w:tcW w:w="1584" w:type="dxa"/>
            <w:vAlign w:val="center"/>
          </w:tcPr>
          <w:p w14:paraId="1EFE7F84">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75.25</w:t>
            </w:r>
            <w:r>
              <w:rPr>
                <w:rFonts w:hint="eastAsia" w:ascii="Times New Roman" w:hAnsi="Times New Roman" w:cs="Times New Roman"/>
                <w:snapToGrid w:val="0"/>
                <w:color w:val="auto"/>
                <w:kern w:val="21"/>
                <w:sz w:val="21"/>
                <w:szCs w:val="21"/>
              </w:rPr>
              <w:t>t/a</w:t>
            </w:r>
          </w:p>
        </w:tc>
      </w:tr>
      <w:tr w14:paraId="72130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17DF999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334E5A29">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含多氯联苯的废电容</w:t>
            </w:r>
          </w:p>
        </w:tc>
        <w:tc>
          <w:tcPr>
            <w:tcW w:w="1701" w:type="dxa"/>
            <w:vAlign w:val="center"/>
          </w:tcPr>
          <w:p w14:paraId="225E5FC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0CA7BB9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563230AD">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7B9D8F4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1.2875</w:t>
            </w:r>
            <w:r>
              <w:rPr>
                <w:rFonts w:hint="eastAsia" w:ascii="Times New Roman" w:hAnsi="Times New Roman" w:cs="Times New Roman"/>
                <w:snapToGrid w:val="0"/>
                <w:color w:val="auto"/>
                <w:kern w:val="21"/>
                <w:sz w:val="21"/>
                <w:szCs w:val="21"/>
              </w:rPr>
              <w:t>t/a</w:t>
            </w:r>
          </w:p>
        </w:tc>
        <w:tc>
          <w:tcPr>
            <w:tcW w:w="1462" w:type="dxa"/>
            <w:vAlign w:val="center"/>
          </w:tcPr>
          <w:p w14:paraId="324BCD9F">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4EE1496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1.2875</w:t>
            </w:r>
            <w:r>
              <w:rPr>
                <w:rFonts w:hint="eastAsia" w:ascii="Times New Roman" w:hAnsi="Times New Roman" w:cs="Times New Roman"/>
                <w:snapToGrid w:val="0"/>
                <w:color w:val="auto"/>
                <w:kern w:val="21"/>
                <w:sz w:val="21"/>
                <w:szCs w:val="21"/>
              </w:rPr>
              <w:t>t/a</w:t>
            </w:r>
          </w:p>
        </w:tc>
        <w:tc>
          <w:tcPr>
            <w:tcW w:w="1584" w:type="dxa"/>
            <w:vAlign w:val="center"/>
          </w:tcPr>
          <w:p w14:paraId="305E88AC">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1.2875</w:t>
            </w:r>
            <w:r>
              <w:rPr>
                <w:rFonts w:hint="eastAsia" w:ascii="Times New Roman" w:hAnsi="Times New Roman" w:cs="Times New Roman"/>
                <w:snapToGrid w:val="0"/>
                <w:color w:val="auto"/>
                <w:kern w:val="21"/>
                <w:sz w:val="21"/>
                <w:szCs w:val="21"/>
              </w:rPr>
              <w:t>t/a</w:t>
            </w:r>
          </w:p>
        </w:tc>
      </w:tr>
      <w:tr w14:paraId="54C12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105796C4">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40213259">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电路板、电子元器件</w:t>
            </w:r>
          </w:p>
        </w:tc>
        <w:tc>
          <w:tcPr>
            <w:tcW w:w="1701" w:type="dxa"/>
            <w:vAlign w:val="center"/>
          </w:tcPr>
          <w:p w14:paraId="08B7A02E">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47BA7FC1">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9807F9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3E398723">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17.575</w:t>
            </w:r>
            <w:r>
              <w:rPr>
                <w:rFonts w:hint="eastAsia" w:ascii="Times New Roman" w:hAnsi="Times New Roman" w:cs="Times New Roman"/>
                <w:snapToGrid w:val="0"/>
                <w:color w:val="auto"/>
                <w:kern w:val="21"/>
                <w:sz w:val="21"/>
                <w:szCs w:val="21"/>
              </w:rPr>
              <w:t>t/a</w:t>
            </w:r>
          </w:p>
        </w:tc>
        <w:tc>
          <w:tcPr>
            <w:tcW w:w="1462" w:type="dxa"/>
            <w:vAlign w:val="center"/>
          </w:tcPr>
          <w:p w14:paraId="610460DF">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16F9C6C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17.575</w:t>
            </w:r>
            <w:r>
              <w:rPr>
                <w:rFonts w:hint="eastAsia" w:ascii="Times New Roman" w:hAnsi="Times New Roman" w:cs="Times New Roman"/>
                <w:snapToGrid w:val="0"/>
                <w:color w:val="auto"/>
                <w:kern w:val="21"/>
                <w:sz w:val="21"/>
                <w:szCs w:val="21"/>
              </w:rPr>
              <w:t>t/a</w:t>
            </w:r>
          </w:p>
        </w:tc>
        <w:tc>
          <w:tcPr>
            <w:tcW w:w="1584" w:type="dxa"/>
            <w:vAlign w:val="center"/>
          </w:tcPr>
          <w:p w14:paraId="1AB0B78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17.575</w:t>
            </w:r>
            <w:r>
              <w:rPr>
                <w:rFonts w:hint="eastAsia" w:ascii="Times New Roman" w:hAnsi="Times New Roman" w:cs="Times New Roman"/>
                <w:snapToGrid w:val="0"/>
                <w:color w:val="auto"/>
                <w:kern w:val="21"/>
                <w:sz w:val="21"/>
                <w:szCs w:val="21"/>
              </w:rPr>
              <w:t>t/a</w:t>
            </w:r>
          </w:p>
        </w:tc>
      </w:tr>
      <w:tr w14:paraId="207CBC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55908AF5">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4AA555AD">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废制动衬片</w:t>
            </w:r>
          </w:p>
        </w:tc>
        <w:tc>
          <w:tcPr>
            <w:tcW w:w="1701" w:type="dxa"/>
            <w:vAlign w:val="center"/>
          </w:tcPr>
          <w:p w14:paraId="2DE8A3E2">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46E9899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11FBA78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3BEB975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9.135</w:t>
            </w:r>
            <w:r>
              <w:rPr>
                <w:rFonts w:hint="eastAsia" w:ascii="Times New Roman" w:hAnsi="Times New Roman" w:cs="Times New Roman"/>
                <w:snapToGrid w:val="0"/>
                <w:color w:val="auto"/>
                <w:kern w:val="21"/>
                <w:sz w:val="21"/>
                <w:szCs w:val="21"/>
              </w:rPr>
              <w:t>t/a</w:t>
            </w:r>
          </w:p>
        </w:tc>
        <w:tc>
          <w:tcPr>
            <w:tcW w:w="1462" w:type="dxa"/>
            <w:vAlign w:val="center"/>
          </w:tcPr>
          <w:p w14:paraId="4F52D369">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46BC2F0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9.135</w:t>
            </w:r>
            <w:r>
              <w:rPr>
                <w:rFonts w:hint="eastAsia" w:ascii="Times New Roman" w:hAnsi="Times New Roman" w:cs="Times New Roman"/>
                <w:snapToGrid w:val="0"/>
                <w:color w:val="auto"/>
                <w:kern w:val="21"/>
                <w:sz w:val="21"/>
                <w:szCs w:val="21"/>
              </w:rPr>
              <w:t>t/a</w:t>
            </w:r>
          </w:p>
        </w:tc>
        <w:tc>
          <w:tcPr>
            <w:tcW w:w="1584" w:type="dxa"/>
            <w:vAlign w:val="center"/>
          </w:tcPr>
          <w:p w14:paraId="71E9B37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9.135</w:t>
            </w:r>
            <w:r>
              <w:rPr>
                <w:rFonts w:hint="eastAsia" w:ascii="Times New Roman" w:hAnsi="Times New Roman" w:cs="Times New Roman"/>
                <w:snapToGrid w:val="0"/>
                <w:color w:val="auto"/>
                <w:kern w:val="21"/>
                <w:sz w:val="21"/>
                <w:szCs w:val="21"/>
              </w:rPr>
              <w:t>t/a</w:t>
            </w:r>
          </w:p>
        </w:tc>
      </w:tr>
      <w:tr w14:paraId="2F21C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74BB2DFF">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03B6D85A">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含汞光源</w:t>
            </w:r>
          </w:p>
        </w:tc>
        <w:tc>
          <w:tcPr>
            <w:tcW w:w="1701" w:type="dxa"/>
            <w:vAlign w:val="center"/>
          </w:tcPr>
          <w:p w14:paraId="18E3CBB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6C95205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42C143B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67ABE927">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2.535</w:t>
            </w:r>
            <w:r>
              <w:rPr>
                <w:rFonts w:hint="eastAsia" w:ascii="Times New Roman" w:hAnsi="Times New Roman" w:cs="Times New Roman"/>
                <w:snapToGrid w:val="0"/>
                <w:color w:val="auto"/>
                <w:kern w:val="21"/>
                <w:sz w:val="21"/>
                <w:szCs w:val="21"/>
              </w:rPr>
              <w:t>t/a</w:t>
            </w:r>
          </w:p>
        </w:tc>
        <w:tc>
          <w:tcPr>
            <w:tcW w:w="1462" w:type="dxa"/>
            <w:vAlign w:val="center"/>
          </w:tcPr>
          <w:p w14:paraId="4DDF27C2">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1CDEDC2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2.535</w:t>
            </w:r>
            <w:r>
              <w:rPr>
                <w:rFonts w:hint="eastAsia" w:ascii="Times New Roman" w:hAnsi="Times New Roman" w:cs="Times New Roman"/>
                <w:snapToGrid w:val="0"/>
                <w:color w:val="auto"/>
                <w:kern w:val="21"/>
                <w:sz w:val="21"/>
                <w:szCs w:val="21"/>
              </w:rPr>
              <w:t>t/a</w:t>
            </w:r>
          </w:p>
        </w:tc>
        <w:tc>
          <w:tcPr>
            <w:tcW w:w="1584" w:type="dxa"/>
            <w:vAlign w:val="center"/>
          </w:tcPr>
          <w:p w14:paraId="66F74AB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2.535</w:t>
            </w:r>
            <w:r>
              <w:rPr>
                <w:rFonts w:hint="eastAsia" w:ascii="Times New Roman" w:hAnsi="Times New Roman" w:cs="Times New Roman"/>
                <w:snapToGrid w:val="0"/>
                <w:color w:val="auto"/>
                <w:kern w:val="21"/>
                <w:sz w:val="21"/>
                <w:szCs w:val="21"/>
              </w:rPr>
              <w:t>t/a</w:t>
            </w:r>
          </w:p>
        </w:tc>
      </w:tr>
      <w:tr w14:paraId="0A2AA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18C95CF6">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2B7F023B">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机油滤清器</w:t>
            </w:r>
          </w:p>
        </w:tc>
        <w:tc>
          <w:tcPr>
            <w:tcW w:w="1701" w:type="dxa"/>
            <w:vAlign w:val="center"/>
          </w:tcPr>
          <w:p w14:paraId="4F8AD229">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2622D54D">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7A202A8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7FE459B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1.01</w:t>
            </w:r>
            <w:r>
              <w:rPr>
                <w:rFonts w:hint="eastAsia" w:ascii="Times New Roman" w:hAnsi="Times New Roman" w:cs="Times New Roman"/>
                <w:snapToGrid w:val="0"/>
                <w:color w:val="auto"/>
                <w:kern w:val="21"/>
                <w:sz w:val="21"/>
                <w:szCs w:val="21"/>
              </w:rPr>
              <w:t>t/a</w:t>
            </w:r>
          </w:p>
        </w:tc>
        <w:tc>
          <w:tcPr>
            <w:tcW w:w="1462" w:type="dxa"/>
            <w:vAlign w:val="center"/>
          </w:tcPr>
          <w:p w14:paraId="66189F90">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187A05D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1.01</w:t>
            </w:r>
            <w:r>
              <w:rPr>
                <w:rFonts w:hint="eastAsia" w:ascii="Times New Roman" w:hAnsi="Times New Roman" w:cs="Times New Roman"/>
                <w:snapToGrid w:val="0"/>
                <w:color w:val="auto"/>
                <w:kern w:val="21"/>
                <w:sz w:val="21"/>
                <w:szCs w:val="21"/>
              </w:rPr>
              <w:t>t/a</w:t>
            </w:r>
          </w:p>
        </w:tc>
        <w:tc>
          <w:tcPr>
            <w:tcW w:w="1584" w:type="dxa"/>
            <w:vAlign w:val="center"/>
          </w:tcPr>
          <w:p w14:paraId="39E0194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1.01</w:t>
            </w:r>
            <w:r>
              <w:rPr>
                <w:rFonts w:hint="eastAsia" w:ascii="Times New Roman" w:hAnsi="Times New Roman" w:cs="Times New Roman"/>
                <w:snapToGrid w:val="0"/>
                <w:color w:val="auto"/>
                <w:kern w:val="21"/>
                <w:sz w:val="21"/>
                <w:szCs w:val="21"/>
              </w:rPr>
              <w:t>t/a</w:t>
            </w:r>
          </w:p>
        </w:tc>
      </w:tr>
      <w:tr w14:paraId="50F33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211329A0">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6D3DC329">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含油手套</w:t>
            </w:r>
          </w:p>
        </w:tc>
        <w:tc>
          <w:tcPr>
            <w:tcW w:w="1701" w:type="dxa"/>
            <w:vAlign w:val="center"/>
          </w:tcPr>
          <w:p w14:paraId="541CDDD8">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37DFFF57">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3E31F1BA">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093E52BD">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0.2</w:t>
            </w:r>
            <w:r>
              <w:rPr>
                <w:rFonts w:hint="eastAsia" w:ascii="Times New Roman" w:hAnsi="Times New Roman" w:cs="Times New Roman"/>
                <w:snapToGrid w:val="0"/>
                <w:color w:val="auto"/>
                <w:kern w:val="21"/>
                <w:sz w:val="21"/>
                <w:szCs w:val="21"/>
              </w:rPr>
              <w:t>t/a</w:t>
            </w:r>
          </w:p>
        </w:tc>
        <w:tc>
          <w:tcPr>
            <w:tcW w:w="1462" w:type="dxa"/>
            <w:vAlign w:val="center"/>
          </w:tcPr>
          <w:p w14:paraId="0B706CEE">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1CCC725">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0.2</w:t>
            </w:r>
            <w:r>
              <w:rPr>
                <w:rFonts w:hint="eastAsia" w:ascii="Times New Roman" w:hAnsi="Times New Roman" w:cs="Times New Roman"/>
                <w:snapToGrid w:val="0"/>
                <w:color w:val="auto"/>
                <w:kern w:val="21"/>
                <w:sz w:val="21"/>
                <w:szCs w:val="21"/>
              </w:rPr>
              <w:t>t/a</w:t>
            </w:r>
          </w:p>
        </w:tc>
        <w:tc>
          <w:tcPr>
            <w:tcW w:w="1584" w:type="dxa"/>
            <w:vAlign w:val="center"/>
          </w:tcPr>
          <w:p w14:paraId="370B71E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0.2</w:t>
            </w:r>
            <w:r>
              <w:rPr>
                <w:rFonts w:hint="eastAsia" w:ascii="Times New Roman" w:hAnsi="Times New Roman" w:cs="Times New Roman"/>
                <w:snapToGrid w:val="0"/>
                <w:color w:val="auto"/>
                <w:kern w:val="21"/>
                <w:sz w:val="21"/>
                <w:szCs w:val="21"/>
              </w:rPr>
              <w:t>t/a</w:t>
            </w:r>
          </w:p>
        </w:tc>
      </w:tr>
      <w:tr w14:paraId="137B9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vAlign w:val="center"/>
          </w:tcPr>
          <w:p w14:paraId="33B83D48">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ascii="Times New Roman"/>
                <w:snapToGrid w:val="0"/>
                <w:color w:val="auto"/>
                <w:kern w:val="21"/>
                <w:sz w:val="21"/>
                <w:szCs w:val="21"/>
              </w:rPr>
            </w:pPr>
          </w:p>
        </w:tc>
        <w:tc>
          <w:tcPr>
            <w:tcW w:w="1908" w:type="dxa"/>
            <w:vAlign w:val="center"/>
          </w:tcPr>
          <w:p w14:paraId="736F6B29">
            <w:pPr>
              <w:keepNext w:val="0"/>
              <w:keepLines w:val="0"/>
              <w:widowControl/>
              <w:suppressLineNumbers w:val="0"/>
              <w:jc w:val="center"/>
              <w:textAlignment w:val="center"/>
              <w:rPr>
                <w:rFonts w:hint="eastAsia" w:ascii="Times New Roman"/>
                <w:snapToGrid w:val="0"/>
                <w:color w:val="auto"/>
                <w:kern w:val="21"/>
                <w:sz w:val="21"/>
                <w:szCs w:val="21"/>
              </w:rPr>
            </w:pPr>
            <w:r>
              <w:rPr>
                <w:rFonts w:hint="eastAsia" w:ascii="宋体" w:hAnsi="宋体" w:eastAsia="宋体" w:cs="宋体"/>
                <w:i w:val="0"/>
                <w:iCs w:val="0"/>
                <w:color w:val="000000"/>
                <w:kern w:val="0"/>
                <w:sz w:val="21"/>
                <w:szCs w:val="21"/>
                <w:u w:val="none"/>
                <w:lang w:val="en-US" w:eastAsia="zh-CN" w:bidi="ar"/>
              </w:rPr>
              <w:t>废活性炭</w:t>
            </w:r>
          </w:p>
        </w:tc>
        <w:tc>
          <w:tcPr>
            <w:tcW w:w="1701" w:type="dxa"/>
            <w:vAlign w:val="center"/>
          </w:tcPr>
          <w:p w14:paraId="20441AFF">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276" w:type="dxa"/>
            <w:vAlign w:val="center"/>
          </w:tcPr>
          <w:p w14:paraId="1B527F20">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701" w:type="dxa"/>
            <w:vAlign w:val="center"/>
          </w:tcPr>
          <w:p w14:paraId="2C81CB63">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59" w:type="dxa"/>
            <w:vAlign w:val="center"/>
          </w:tcPr>
          <w:p w14:paraId="352D4A32">
            <w:pPr>
              <w:pStyle w:val="60"/>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0.0088</w:t>
            </w:r>
            <w:r>
              <w:rPr>
                <w:rFonts w:hint="eastAsia" w:ascii="Times New Roman" w:hAnsi="Times New Roman" w:cs="Times New Roman"/>
                <w:snapToGrid w:val="0"/>
                <w:color w:val="auto"/>
                <w:kern w:val="21"/>
                <w:sz w:val="21"/>
                <w:szCs w:val="21"/>
              </w:rPr>
              <w:t>t/a</w:t>
            </w:r>
          </w:p>
        </w:tc>
        <w:tc>
          <w:tcPr>
            <w:tcW w:w="1462" w:type="dxa"/>
            <w:vAlign w:val="center"/>
          </w:tcPr>
          <w:p w14:paraId="4540CFAC">
            <w:pPr>
              <w:keepNext w:val="0"/>
              <w:keepLines w:val="0"/>
              <w:pageBreakBefore w:val="0"/>
              <w:widowControl w:val="0"/>
              <w:kinsoku/>
              <w:wordWrap/>
              <w:overflowPunct/>
              <w:topLinePunct w:val="0"/>
              <w:autoSpaceDE/>
              <w:autoSpaceDN/>
              <w:bidi w:val="0"/>
              <w:snapToGrid/>
              <w:spacing w:beforeLines="0" w:afterLines="0" w:line="240" w:lineRule="auto"/>
              <w:ind w:left="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rPr>
              <w:t>0</w:t>
            </w:r>
          </w:p>
        </w:tc>
        <w:tc>
          <w:tcPr>
            <w:tcW w:w="1500" w:type="dxa"/>
            <w:vAlign w:val="center"/>
          </w:tcPr>
          <w:p w14:paraId="3815241B">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0.0088</w:t>
            </w:r>
            <w:r>
              <w:rPr>
                <w:rFonts w:hint="eastAsia" w:ascii="Times New Roman" w:hAnsi="Times New Roman" w:cs="Times New Roman"/>
                <w:snapToGrid w:val="0"/>
                <w:color w:val="auto"/>
                <w:kern w:val="21"/>
                <w:sz w:val="21"/>
                <w:szCs w:val="21"/>
              </w:rPr>
              <w:t>t/a</w:t>
            </w:r>
          </w:p>
        </w:tc>
        <w:tc>
          <w:tcPr>
            <w:tcW w:w="1584" w:type="dxa"/>
            <w:vAlign w:val="center"/>
          </w:tcPr>
          <w:p w14:paraId="2923D8A6">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rPr>
                <w:rFonts w:hint="eastAsia" w:ascii="Times New Roman" w:hAnsi="Times New Roman" w:cs="Times New Roman"/>
                <w:snapToGrid w:val="0"/>
                <w:color w:val="auto"/>
                <w:kern w:val="21"/>
                <w:sz w:val="21"/>
                <w:szCs w:val="21"/>
              </w:rPr>
            </w:pP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lang w:val="en-US" w:eastAsia="zh-CN"/>
              </w:rPr>
              <w:t>0.0088</w:t>
            </w:r>
            <w:r>
              <w:rPr>
                <w:rFonts w:hint="eastAsia" w:ascii="Times New Roman" w:hAnsi="Times New Roman" w:cs="Times New Roman"/>
                <w:snapToGrid w:val="0"/>
                <w:color w:val="auto"/>
                <w:kern w:val="21"/>
                <w:sz w:val="21"/>
                <w:szCs w:val="21"/>
              </w:rPr>
              <w:t>t/a</w:t>
            </w:r>
          </w:p>
        </w:tc>
      </w:tr>
    </w:tbl>
    <w:p w14:paraId="7C42DCD0">
      <w:pPr>
        <w:pStyle w:val="60"/>
        <w:spacing w:before="192" w:beforeLines="80" w:after="24"/>
        <w:jc w:val="lef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713FE4D2">
      <w:pPr>
        <w:rPr>
          <w:rFonts w:hint="default" w:ascii="Times New Roman" w:hAnsi="Times New Roman" w:cs="Times New Roman"/>
          <w:snapToGrid w:val="0"/>
          <w:color w:val="auto"/>
          <w:spacing w:val="-6"/>
          <w:kern w:val="21"/>
          <w:szCs w:val="21"/>
          <w:highlight w:val="none"/>
        </w:rPr>
      </w:pPr>
    </w:p>
    <w:p w14:paraId="2BE44531">
      <w:pPr>
        <w:rPr>
          <w:rFonts w:hint="default" w:ascii="Times New Roman" w:hAnsi="Times New Roman" w:cs="Times New Roman"/>
          <w:snapToGrid w:val="0"/>
          <w:color w:val="auto"/>
          <w:spacing w:val="-6"/>
          <w:kern w:val="21"/>
          <w:szCs w:val="21"/>
          <w:highlight w:val="none"/>
        </w:rPr>
        <w:sectPr>
          <w:footerReference r:id="rId7" w:type="default"/>
          <w:pgSz w:w="16838" w:h="11906" w:orient="landscape"/>
          <w:pgMar w:top="1531" w:right="1701" w:bottom="1984" w:left="1701" w:header="851" w:footer="850" w:gutter="0"/>
          <w:pgBorders>
            <w:top w:val="none" w:sz="0" w:space="0"/>
            <w:left w:val="none" w:sz="0" w:space="0"/>
            <w:bottom w:val="none" w:sz="0" w:space="0"/>
            <w:right w:val="none" w:sz="0" w:space="0"/>
          </w:pgBorders>
          <w:cols w:space="720" w:num="1"/>
          <w:rtlGutter w:val="0"/>
          <w:docGrid w:linePitch="312" w:charSpace="0"/>
        </w:sectPr>
      </w:pPr>
    </w:p>
    <w:p w14:paraId="519E9DCE">
      <w:pPr>
        <w:jc w:val="center"/>
        <w:rPr>
          <w:rFonts w:hint="eastAsia" w:eastAsia="宋体"/>
          <w:b/>
          <w:bCs/>
          <w:sz w:val="44"/>
          <w:lang w:eastAsia="zh-CN"/>
        </w:rPr>
      </w:pPr>
      <w:r>
        <w:rPr>
          <w:rFonts w:hint="eastAsia" w:eastAsia="宋体"/>
          <w:b/>
          <w:bCs/>
          <w:sz w:val="44"/>
          <w:lang w:eastAsia="zh-CN"/>
        </w:rPr>
        <w:drawing>
          <wp:inline distT="0" distB="0" distL="114300" distR="114300">
            <wp:extent cx="5314950" cy="7472680"/>
            <wp:effectExtent l="0" t="0" r="0" b="13970"/>
            <wp:docPr id="11" name="图片 11" descr="扫描全能王 2025-06-18 12.06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06-18 12.06_03(1)"/>
                    <pic:cNvPicPr>
                      <a:picLocks noChangeAspect="1"/>
                    </pic:cNvPicPr>
                  </pic:nvPicPr>
                  <pic:blipFill>
                    <a:blip r:embed="rId34"/>
                    <a:stretch>
                      <a:fillRect/>
                    </a:stretch>
                  </pic:blipFill>
                  <pic:spPr>
                    <a:xfrm>
                      <a:off x="0" y="0"/>
                      <a:ext cx="5314950" cy="7472680"/>
                    </a:xfrm>
                    <a:prstGeom prst="rect">
                      <a:avLst/>
                    </a:prstGeom>
                  </pic:spPr>
                </pic:pic>
              </a:graphicData>
            </a:graphic>
          </wp:inline>
        </w:drawing>
      </w:r>
    </w:p>
    <w:p w14:paraId="15217F53">
      <w:pPr>
        <w:pStyle w:val="2"/>
        <w:rPr>
          <w:rFonts w:hint="eastAsia"/>
          <w:lang w:eastAsia="zh-CN"/>
        </w:rPr>
      </w:pPr>
    </w:p>
    <w:p w14:paraId="2E1CB54C">
      <w:pPr>
        <w:spacing w:line="360" w:lineRule="auto"/>
        <w:ind w:firstLine="2800" w:firstLineChars="1000"/>
        <w:rPr>
          <w:rFonts w:hint="default"/>
          <w:sz w:val="28"/>
          <w:szCs w:val="28"/>
        </w:rPr>
      </w:pPr>
    </w:p>
    <w:sectPr>
      <w:pgSz w:w="11906" w:h="16838"/>
      <w:pgMar w:top="1701" w:right="1984" w:bottom="1701" w:left="1531" w:header="851" w:footer="850"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E3DF4">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3847B">
    <w:pPr>
      <w:pStyle w:val="21"/>
      <w:framePr w:wrap="around" w:vAnchor="text" w:hAnchor="margin" w:xAlign="center" w:y="1"/>
      <w:rPr>
        <w:rStyle w:val="32"/>
      </w:rPr>
    </w:pPr>
    <w:r>
      <w:fldChar w:fldCharType="begin"/>
    </w:r>
    <w:r>
      <w:rPr>
        <w:rStyle w:val="32"/>
      </w:rPr>
      <w:instrText xml:space="preserve">PAGE  </w:instrText>
    </w:r>
    <w:r>
      <w:fldChar w:fldCharType="end"/>
    </w:r>
  </w:p>
  <w:p w14:paraId="7333C142">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70B10">
    <w:pPr>
      <w:pStyle w:val="21"/>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9</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7BB0952D">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78F86">
    <w:pPr>
      <w:pStyle w:val="21"/>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9</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3EF26063">
    <w:pPr>
      <w:pStyle w:val="2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4315F">
    <w:pPr>
      <w:pStyle w:val="21"/>
      <w:framePr w:wrap="around" w:vAnchor="text" w:hAnchor="margin" w:xAlign="outside"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Style w:val="32"/>
        <w:rFonts w:ascii="宋体" w:hAnsi="宋体"/>
        <w:sz w:val="26"/>
        <w:szCs w:val="26"/>
      </w:rPr>
      <w:fldChar w:fldCharType="begin"/>
    </w:r>
    <w:r>
      <w:rPr>
        <w:rStyle w:val="32"/>
        <w:rFonts w:ascii="宋体" w:hAnsi="宋体"/>
        <w:sz w:val="26"/>
        <w:szCs w:val="26"/>
      </w:rPr>
      <w:instrText xml:space="preserve">PAGE  </w:instrText>
    </w:r>
    <w:r>
      <w:rPr>
        <w:rStyle w:val="32"/>
        <w:rFonts w:ascii="宋体" w:hAnsi="宋体"/>
        <w:sz w:val="26"/>
        <w:szCs w:val="26"/>
      </w:rPr>
      <w:fldChar w:fldCharType="separate"/>
    </w:r>
    <w:r>
      <w:rPr>
        <w:rStyle w:val="32"/>
        <w:rFonts w:ascii="宋体" w:hAnsi="宋体"/>
        <w:sz w:val="26"/>
        <w:szCs w:val="26"/>
      </w:rPr>
      <w:t>11</w:t>
    </w:r>
    <w:r>
      <w:rPr>
        <w:rStyle w:val="32"/>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3CA15359">
    <w:pPr>
      <w:pStyle w:val="21"/>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B946C"/>
    <w:multiLevelType w:val="singleLevel"/>
    <w:tmpl w:val="CBEB946C"/>
    <w:lvl w:ilvl="0" w:tentative="0">
      <w:start w:val="1"/>
      <w:numFmt w:val="decimal"/>
      <w:suff w:val="nothing"/>
      <w:lvlText w:val="%1、"/>
      <w:lvlJc w:val="left"/>
    </w:lvl>
  </w:abstractNum>
  <w:abstractNum w:abstractNumId="1">
    <w:nsid w:val="10697CB9"/>
    <w:multiLevelType w:val="singleLevel"/>
    <w:tmpl w:val="10697CB9"/>
    <w:lvl w:ilvl="0" w:tentative="0">
      <w:start w:val="1"/>
      <w:numFmt w:val="decimal"/>
      <w:suff w:val="nothing"/>
      <w:lvlText w:val="%1、"/>
      <w:lvlJc w:val="left"/>
    </w:lvl>
  </w:abstractNum>
  <w:abstractNum w:abstractNumId="2">
    <w:nsid w:val="4E794867"/>
    <w:multiLevelType w:val="singleLevel"/>
    <w:tmpl w:val="4E794867"/>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JjYWU5OWYwODFkYWJlODE0ODBlNTBhMGE2ZjZiMDA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C7E90"/>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11F4"/>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1283"/>
    <w:rsid w:val="00484B9B"/>
    <w:rsid w:val="004855F6"/>
    <w:rsid w:val="0048661E"/>
    <w:rsid w:val="00494670"/>
    <w:rsid w:val="004A3823"/>
    <w:rsid w:val="004C0111"/>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4FBA"/>
    <w:rsid w:val="005720AE"/>
    <w:rsid w:val="005746C9"/>
    <w:rsid w:val="00594D77"/>
    <w:rsid w:val="005969E4"/>
    <w:rsid w:val="005A06B7"/>
    <w:rsid w:val="005A1759"/>
    <w:rsid w:val="005A47AA"/>
    <w:rsid w:val="005A68A7"/>
    <w:rsid w:val="005D36AB"/>
    <w:rsid w:val="00617CC3"/>
    <w:rsid w:val="006252D9"/>
    <w:rsid w:val="00634BC2"/>
    <w:rsid w:val="006377A6"/>
    <w:rsid w:val="00637A3D"/>
    <w:rsid w:val="006411EF"/>
    <w:rsid w:val="006748B8"/>
    <w:rsid w:val="006761CC"/>
    <w:rsid w:val="006775C3"/>
    <w:rsid w:val="0069290A"/>
    <w:rsid w:val="006955EC"/>
    <w:rsid w:val="0069775A"/>
    <w:rsid w:val="00697813"/>
    <w:rsid w:val="006A2605"/>
    <w:rsid w:val="006A3EE8"/>
    <w:rsid w:val="006A72BF"/>
    <w:rsid w:val="006B03F2"/>
    <w:rsid w:val="006B37DC"/>
    <w:rsid w:val="006B4F68"/>
    <w:rsid w:val="006C0592"/>
    <w:rsid w:val="006C272E"/>
    <w:rsid w:val="006C5479"/>
    <w:rsid w:val="006D13B5"/>
    <w:rsid w:val="006E12FF"/>
    <w:rsid w:val="006E607E"/>
    <w:rsid w:val="006F36C2"/>
    <w:rsid w:val="007007DA"/>
    <w:rsid w:val="00706C5D"/>
    <w:rsid w:val="00732922"/>
    <w:rsid w:val="00734760"/>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47DE1"/>
    <w:rsid w:val="00861DAB"/>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3BFA"/>
    <w:rsid w:val="00976328"/>
    <w:rsid w:val="0097680D"/>
    <w:rsid w:val="00982438"/>
    <w:rsid w:val="0098260C"/>
    <w:rsid w:val="0098404C"/>
    <w:rsid w:val="00985283"/>
    <w:rsid w:val="00995992"/>
    <w:rsid w:val="009A03E5"/>
    <w:rsid w:val="009A0F3B"/>
    <w:rsid w:val="009A1BB4"/>
    <w:rsid w:val="009A24B8"/>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95CDD"/>
    <w:rsid w:val="00BA29E9"/>
    <w:rsid w:val="00BA7142"/>
    <w:rsid w:val="00BB237C"/>
    <w:rsid w:val="00BB41A3"/>
    <w:rsid w:val="00BC32DC"/>
    <w:rsid w:val="00BC35B6"/>
    <w:rsid w:val="00BD1B51"/>
    <w:rsid w:val="00BD4596"/>
    <w:rsid w:val="00BE1405"/>
    <w:rsid w:val="00BE312D"/>
    <w:rsid w:val="00BF1C20"/>
    <w:rsid w:val="00C03CAC"/>
    <w:rsid w:val="00C07F18"/>
    <w:rsid w:val="00C10578"/>
    <w:rsid w:val="00C135BC"/>
    <w:rsid w:val="00C15C95"/>
    <w:rsid w:val="00C2596A"/>
    <w:rsid w:val="00C27537"/>
    <w:rsid w:val="00C328FE"/>
    <w:rsid w:val="00C33507"/>
    <w:rsid w:val="00C33E5A"/>
    <w:rsid w:val="00C4409D"/>
    <w:rsid w:val="00C44E72"/>
    <w:rsid w:val="00C45A06"/>
    <w:rsid w:val="00C47E5B"/>
    <w:rsid w:val="00C61E4B"/>
    <w:rsid w:val="00C63265"/>
    <w:rsid w:val="00C64BFF"/>
    <w:rsid w:val="00C704E9"/>
    <w:rsid w:val="00C763C9"/>
    <w:rsid w:val="00C80057"/>
    <w:rsid w:val="00C82232"/>
    <w:rsid w:val="00C82913"/>
    <w:rsid w:val="00C87450"/>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27"/>
    <w:rsid w:val="00D36D86"/>
    <w:rsid w:val="00D428AA"/>
    <w:rsid w:val="00D50A34"/>
    <w:rsid w:val="00D53EFA"/>
    <w:rsid w:val="00D94A7C"/>
    <w:rsid w:val="00D95896"/>
    <w:rsid w:val="00DA4EFA"/>
    <w:rsid w:val="00DB2983"/>
    <w:rsid w:val="00DC1257"/>
    <w:rsid w:val="00DC3DC0"/>
    <w:rsid w:val="00DC5B2B"/>
    <w:rsid w:val="00DD318D"/>
    <w:rsid w:val="00DF0B6B"/>
    <w:rsid w:val="00DF2E12"/>
    <w:rsid w:val="00DF514A"/>
    <w:rsid w:val="00DF6690"/>
    <w:rsid w:val="00DF6804"/>
    <w:rsid w:val="00E0358D"/>
    <w:rsid w:val="00E04323"/>
    <w:rsid w:val="00E05E0F"/>
    <w:rsid w:val="00E070A2"/>
    <w:rsid w:val="00E2647B"/>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EF74DF"/>
    <w:rsid w:val="00F027DB"/>
    <w:rsid w:val="00F14A7A"/>
    <w:rsid w:val="00F22985"/>
    <w:rsid w:val="00F24041"/>
    <w:rsid w:val="00F3383E"/>
    <w:rsid w:val="00F44F67"/>
    <w:rsid w:val="00F465A7"/>
    <w:rsid w:val="00F50B7C"/>
    <w:rsid w:val="00F550E6"/>
    <w:rsid w:val="00F74345"/>
    <w:rsid w:val="00F80A0A"/>
    <w:rsid w:val="00F82B19"/>
    <w:rsid w:val="00F9212D"/>
    <w:rsid w:val="00F965DA"/>
    <w:rsid w:val="00FA406A"/>
    <w:rsid w:val="00FB503A"/>
    <w:rsid w:val="00FB516C"/>
    <w:rsid w:val="00FC3E1B"/>
    <w:rsid w:val="00FD0236"/>
    <w:rsid w:val="00FD18F4"/>
    <w:rsid w:val="00FD54DB"/>
    <w:rsid w:val="00FD619F"/>
    <w:rsid w:val="01060DE4"/>
    <w:rsid w:val="01082990"/>
    <w:rsid w:val="01150CE5"/>
    <w:rsid w:val="011D632A"/>
    <w:rsid w:val="01290F7E"/>
    <w:rsid w:val="012C068E"/>
    <w:rsid w:val="013648F5"/>
    <w:rsid w:val="013816AE"/>
    <w:rsid w:val="01465C42"/>
    <w:rsid w:val="015D1E09"/>
    <w:rsid w:val="016E2F6B"/>
    <w:rsid w:val="017622EF"/>
    <w:rsid w:val="017A5ABA"/>
    <w:rsid w:val="01956027"/>
    <w:rsid w:val="019B1E99"/>
    <w:rsid w:val="019D36DD"/>
    <w:rsid w:val="01A268D2"/>
    <w:rsid w:val="01B75A7F"/>
    <w:rsid w:val="01BE3BD8"/>
    <w:rsid w:val="01CF23F9"/>
    <w:rsid w:val="01E42A59"/>
    <w:rsid w:val="01E82824"/>
    <w:rsid w:val="01ED2333"/>
    <w:rsid w:val="01EE2AB1"/>
    <w:rsid w:val="01F96540"/>
    <w:rsid w:val="01FB0577"/>
    <w:rsid w:val="01FD1666"/>
    <w:rsid w:val="0204421E"/>
    <w:rsid w:val="02086760"/>
    <w:rsid w:val="02097F52"/>
    <w:rsid w:val="020F605A"/>
    <w:rsid w:val="021A09FD"/>
    <w:rsid w:val="022967BC"/>
    <w:rsid w:val="023B4CF7"/>
    <w:rsid w:val="024E5CAC"/>
    <w:rsid w:val="02511F45"/>
    <w:rsid w:val="02697903"/>
    <w:rsid w:val="027D0F8C"/>
    <w:rsid w:val="02815D71"/>
    <w:rsid w:val="028E4948"/>
    <w:rsid w:val="02900F36"/>
    <w:rsid w:val="029169EE"/>
    <w:rsid w:val="029D518A"/>
    <w:rsid w:val="029E18A9"/>
    <w:rsid w:val="02A60F79"/>
    <w:rsid w:val="02A8114E"/>
    <w:rsid w:val="02AA566C"/>
    <w:rsid w:val="02B45E96"/>
    <w:rsid w:val="02B82105"/>
    <w:rsid w:val="02BC79BA"/>
    <w:rsid w:val="02C16EAA"/>
    <w:rsid w:val="02D45050"/>
    <w:rsid w:val="02DA0B55"/>
    <w:rsid w:val="02EA6F1A"/>
    <w:rsid w:val="02F874D0"/>
    <w:rsid w:val="02F96569"/>
    <w:rsid w:val="030E34B4"/>
    <w:rsid w:val="031E47B7"/>
    <w:rsid w:val="03260C3E"/>
    <w:rsid w:val="033E071B"/>
    <w:rsid w:val="0341020B"/>
    <w:rsid w:val="03433ADE"/>
    <w:rsid w:val="03440DB6"/>
    <w:rsid w:val="03440F8A"/>
    <w:rsid w:val="03564BE8"/>
    <w:rsid w:val="035D3B10"/>
    <w:rsid w:val="03672E12"/>
    <w:rsid w:val="0372003A"/>
    <w:rsid w:val="03847833"/>
    <w:rsid w:val="03861E59"/>
    <w:rsid w:val="03933F66"/>
    <w:rsid w:val="03935418"/>
    <w:rsid w:val="03AC5813"/>
    <w:rsid w:val="03B22EB7"/>
    <w:rsid w:val="03B64DD3"/>
    <w:rsid w:val="03BE360A"/>
    <w:rsid w:val="03C021A9"/>
    <w:rsid w:val="03E13EF3"/>
    <w:rsid w:val="03E7444B"/>
    <w:rsid w:val="03EA7B21"/>
    <w:rsid w:val="03F52E97"/>
    <w:rsid w:val="0405705D"/>
    <w:rsid w:val="04104411"/>
    <w:rsid w:val="041F66A5"/>
    <w:rsid w:val="042B2878"/>
    <w:rsid w:val="042E7061"/>
    <w:rsid w:val="04350C8F"/>
    <w:rsid w:val="044E50E7"/>
    <w:rsid w:val="0460582D"/>
    <w:rsid w:val="04607C76"/>
    <w:rsid w:val="04877251"/>
    <w:rsid w:val="04926AD6"/>
    <w:rsid w:val="049D6C81"/>
    <w:rsid w:val="04AC5B58"/>
    <w:rsid w:val="04B93678"/>
    <w:rsid w:val="04BC1B5B"/>
    <w:rsid w:val="04E1135C"/>
    <w:rsid w:val="04EE28EA"/>
    <w:rsid w:val="04F17B38"/>
    <w:rsid w:val="050F320F"/>
    <w:rsid w:val="051A6F66"/>
    <w:rsid w:val="051B37EB"/>
    <w:rsid w:val="051F4CBF"/>
    <w:rsid w:val="05251FCA"/>
    <w:rsid w:val="052520E2"/>
    <w:rsid w:val="052D0A47"/>
    <w:rsid w:val="053316A3"/>
    <w:rsid w:val="05362844"/>
    <w:rsid w:val="054E4437"/>
    <w:rsid w:val="055204AE"/>
    <w:rsid w:val="056E38BA"/>
    <w:rsid w:val="05716B80"/>
    <w:rsid w:val="057F0B8E"/>
    <w:rsid w:val="058E13C1"/>
    <w:rsid w:val="0593597F"/>
    <w:rsid w:val="059D6B5E"/>
    <w:rsid w:val="05A96504"/>
    <w:rsid w:val="05AF5900"/>
    <w:rsid w:val="05CF64C3"/>
    <w:rsid w:val="05D963ED"/>
    <w:rsid w:val="05DB17D3"/>
    <w:rsid w:val="05DF30A1"/>
    <w:rsid w:val="05E37650"/>
    <w:rsid w:val="05E614C1"/>
    <w:rsid w:val="05F83EAE"/>
    <w:rsid w:val="06041C6D"/>
    <w:rsid w:val="06051C6C"/>
    <w:rsid w:val="061C1F17"/>
    <w:rsid w:val="062146B7"/>
    <w:rsid w:val="06286A77"/>
    <w:rsid w:val="06330796"/>
    <w:rsid w:val="06345E66"/>
    <w:rsid w:val="0636647B"/>
    <w:rsid w:val="063E7D85"/>
    <w:rsid w:val="064029AB"/>
    <w:rsid w:val="064C7004"/>
    <w:rsid w:val="064E007E"/>
    <w:rsid w:val="064E73B0"/>
    <w:rsid w:val="065701ED"/>
    <w:rsid w:val="06570B87"/>
    <w:rsid w:val="0662515D"/>
    <w:rsid w:val="066729DF"/>
    <w:rsid w:val="06685FD6"/>
    <w:rsid w:val="06750467"/>
    <w:rsid w:val="06781F50"/>
    <w:rsid w:val="067E34D4"/>
    <w:rsid w:val="068F06C2"/>
    <w:rsid w:val="068F64B0"/>
    <w:rsid w:val="06943AB3"/>
    <w:rsid w:val="06A815C7"/>
    <w:rsid w:val="06B623C9"/>
    <w:rsid w:val="06B62DB8"/>
    <w:rsid w:val="06BE739A"/>
    <w:rsid w:val="06C04AAF"/>
    <w:rsid w:val="06C42348"/>
    <w:rsid w:val="06CC0773"/>
    <w:rsid w:val="06D55640"/>
    <w:rsid w:val="06E35DB4"/>
    <w:rsid w:val="06E62F53"/>
    <w:rsid w:val="06EC4C16"/>
    <w:rsid w:val="06F908B8"/>
    <w:rsid w:val="07062AD4"/>
    <w:rsid w:val="07201DA2"/>
    <w:rsid w:val="07293586"/>
    <w:rsid w:val="07295285"/>
    <w:rsid w:val="073A3347"/>
    <w:rsid w:val="073E518E"/>
    <w:rsid w:val="07483FF7"/>
    <w:rsid w:val="074D0A2F"/>
    <w:rsid w:val="074F30F9"/>
    <w:rsid w:val="07517D6F"/>
    <w:rsid w:val="075B0460"/>
    <w:rsid w:val="07636392"/>
    <w:rsid w:val="076F2125"/>
    <w:rsid w:val="076F6E56"/>
    <w:rsid w:val="076F70F4"/>
    <w:rsid w:val="07770C56"/>
    <w:rsid w:val="07862EC1"/>
    <w:rsid w:val="078A2181"/>
    <w:rsid w:val="078C7EAF"/>
    <w:rsid w:val="07A373DE"/>
    <w:rsid w:val="07B27A2F"/>
    <w:rsid w:val="07B876B4"/>
    <w:rsid w:val="07BA2593"/>
    <w:rsid w:val="07BE6026"/>
    <w:rsid w:val="07BF1175"/>
    <w:rsid w:val="07CC7D6E"/>
    <w:rsid w:val="07CE7150"/>
    <w:rsid w:val="07D4477A"/>
    <w:rsid w:val="07E8334B"/>
    <w:rsid w:val="07EA0493"/>
    <w:rsid w:val="07F20659"/>
    <w:rsid w:val="07F63E15"/>
    <w:rsid w:val="081546A2"/>
    <w:rsid w:val="081B2031"/>
    <w:rsid w:val="081E245E"/>
    <w:rsid w:val="08233C21"/>
    <w:rsid w:val="082A1778"/>
    <w:rsid w:val="082B5124"/>
    <w:rsid w:val="083D71F3"/>
    <w:rsid w:val="083E22C2"/>
    <w:rsid w:val="08472E76"/>
    <w:rsid w:val="084970A8"/>
    <w:rsid w:val="0857487B"/>
    <w:rsid w:val="0870612E"/>
    <w:rsid w:val="087804CD"/>
    <w:rsid w:val="087D3A94"/>
    <w:rsid w:val="0894652F"/>
    <w:rsid w:val="08990B86"/>
    <w:rsid w:val="08B22FC4"/>
    <w:rsid w:val="08C06851"/>
    <w:rsid w:val="08C1323C"/>
    <w:rsid w:val="08C2392F"/>
    <w:rsid w:val="08D02B04"/>
    <w:rsid w:val="08D135C7"/>
    <w:rsid w:val="08D60407"/>
    <w:rsid w:val="08E44CD2"/>
    <w:rsid w:val="08EF2F93"/>
    <w:rsid w:val="08FD4903"/>
    <w:rsid w:val="090A4CFC"/>
    <w:rsid w:val="09195271"/>
    <w:rsid w:val="092217DD"/>
    <w:rsid w:val="092959CA"/>
    <w:rsid w:val="09316FF8"/>
    <w:rsid w:val="093A7294"/>
    <w:rsid w:val="09615163"/>
    <w:rsid w:val="09617A7D"/>
    <w:rsid w:val="09621D24"/>
    <w:rsid w:val="09680191"/>
    <w:rsid w:val="096D4E25"/>
    <w:rsid w:val="097150A6"/>
    <w:rsid w:val="09754626"/>
    <w:rsid w:val="09816E54"/>
    <w:rsid w:val="09846D63"/>
    <w:rsid w:val="098F117C"/>
    <w:rsid w:val="099A1AFB"/>
    <w:rsid w:val="099B3470"/>
    <w:rsid w:val="09A80EC0"/>
    <w:rsid w:val="09AB077C"/>
    <w:rsid w:val="09B40F4B"/>
    <w:rsid w:val="09B71B74"/>
    <w:rsid w:val="09BC1190"/>
    <w:rsid w:val="09CC61F0"/>
    <w:rsid w:val="09FC6C3A"/>
    <w:rsid w:val="0A080860"/>
    <w:rsid w:val="0A23066B"/>
    <w:rsid w:val="0A263993"/>
    <w:rsid w:val="0A2A19F9"/>
    <w:rsid w:val="0A2C39E2"/>
    <w:rsid w:val="0A2D3AC2"/>
    <w:rsid w:val="0A455F61"/>
    <w:rsid w:val="0A5115BC"/>
    <w:rsid w:val="0A6C3303"/>
    <w:rsid w:val="0A6D0C8E"/>
    <w:rsid w:val="0A6F4B53"/>
    <w:rsid w:val="0A792A19"/>
    <w:rsid w:val="0A8A6F84"/>
    <w:rsid w:val="0A8F7AAE"/>
    <w:rsid w:val="0A970D67"/>
    <w:rsid w:val="0A9833A6"/>
    <w:rsid w:val="0A983B4A"/>
    <w:rsid w:val="0A9A377B"/>
    <w:rsid w:val="0AA31401"/>
    <w:rsid w:val="0AA755DF"/>
    <w:rsid w:val="0ABC1EEA"/>
    <w:rsid w:val="0AC026E9"/>
    <w:rsid w:val="0AC915FB"/>
    <w:rsid w:val="0AD329AB"/>
    <w:rsid w:val="0AE75944"/>
    <w:rsid w:val="0AEB3A98"/>
    <w:rsid w:val="0AF0679F"/>
    <w:rsid w:val="0B120D44"/>
    <w:rsid w:val="0B2C4ECF"/>
    <w:rsid w:val="0B325009"/>
    <w:rsid w:val="0B396C5C"/>
    <w:rsid w:val="0B4E5BBB"/>
    <w:rsid w:val="0B521C5E"/>
    <w:rsid w:val="0B565098"/>
    <w:rsid w:val="0B5B3F19"/>
    <w:rsid w:val="0B5C2086"/>
    <w:rsid w:val="0B7725EB"/>
    <w:rsid w:val="0B861A00"/>
    <w:rsid w:val="0B891398"/>
    <w:rsid w:val="0B89303E"/>
    <w:rsid w:val="0BAA294C"/>
    <w:rsid w:val="0BD27BF6"/>
    <w:rsid w:val="0BF864E6"/>
    <w:rsid w:val="0BFC57B5"/>
    <w:rsid w:val="0C0264D2"/>
    <w:rsid w:val="0C0759E4"/>
    <w:rsid w:val="0C0F2D68"/>
    <w:rsid w:val="0C1A2E27"/>
    <w:rsid w:val="0C1A3023"/>
    <w:rsid w:val="0C1C3FFD"/>
    <w:rsid w:val="0C21099F"/>
    <w:rsid w:val="0C316242"/>
    <w:rsid w:val="0C3B3C7D"/>
    <w:rsid w:val="0C3B4D0A"/>
    <w:rsid w:val="0C582921"/>
    <w:rsid w:val="0C655635"/>
    <w:rsid w:val="0C682CB6"/>
    <w:rsid w:val="0C6B78CA"/>
    <w:rsid w:val="0C716050"/>
    <w:rsid w:val="0C7D1CCF"/>
    <w:rsid w:val="0C7D69C0"/>
    <w:rsid w:val="0C882ACD"/>
    <w:rsid w:val="0C8D626F"/>
    <w:rsid w:val="0C9625A7"/>
    <w:rsid w:val="0C9B489E"/>
    <w:rsid w:val="0C9D0740"/>
    <w:rsid w:val="0CA05FA3"/>
    <w:rsid w:val="0CA311AD"/>
    <w:rsid w:val="0CA42951"/>
    <w:rsid w:val="0CAB2EAE"/>
    <w:rsid w:val="0CBB40FC"/>
    <w:rsid w:val="0CC600BB"/>
    <w:rsid w:val="0CD128C5"/>
    <w:rsid w:val="0CDA217A"/>
    <w:rsid w:val="0CDD0FA5"/>
    <w:rsid w:val="0CE61B1B"/>
    <w:rsid w:val="0CEF0CD8"/>
    <w:rsid w:val="0CF7659D"/>
    <w:rsid w:val="0CF81CD8"/>
    <w:rsid w:val="0CFA3905"/>
    <w:rsid w:val="0D13336B"/>
    <w:rsid w:val="0D19311B"/>
    <w:rsid w:val="0D1B7335"/>
    <w:rsid w:val="0D1C577E"/>
    <w:rsid w:val="0D1D79DA"/>
    <w:rsid w:val="0D2271BD"/>
    <w:rsid w:val="0D2300F5"/>
    <w:rsid w:val="0D2E63D7"/>
    <w:rsid w:val="0D3037CB"/>
    <w:rsid w:val="0D41549B"/>
    <w:rsid w:val="0D4320BB"/>
    <w:rsid w:val="0D5F2E7C"/>
    <w:rsid w:val="0D621C7D"/>
    <w:rsid w:val="0D6F031F"/>
    <w:rsid w:val="0D713F29"/>
    <w:rsid w:val="0D7B1A65"/>
    <w:rsid w:val="0D7B1D3B"/>
    <w:rsid w:val="0D7D7786"/>
    <w:rsid w:val="0D8256A8"/>
    <w:rsid w:val="0D9B7D0E"/>
    <w:rsid w:val="0D9E2FDB"/>
    <w:rsid w:val="0DBF06AB"/>
    <w:rsid w:val="0DCE56ED"/>
    <w:rsid w:val="0DDB7050"/>
    <w:rsid w:val="0DE325EB"/>
    <w:rsid w:val="0DEA1161"/>
    <w:rsid w:val="0DF8603F"/>
    <w:rsid w:val="0DFF33B0"/>
    <w:rsid w:val="0E0008E0"/>
    <w:rsid w:val="0E001A9F"/>
    <w:rsid w:val="0E0371E0"/>
    <w:rsid w:val="0E1B1CC8"/>
    <w:rsid w:val="0E1D218B"/>
    <w:rsid w:val="0E2C6CD5"/>
    <w:rsid w:val="0E4C23C9"/>
    <w:rsid w:val="0E4D21D2"/>
    <w:rsid w:val="0E5928AD"/>
    <w:rsid w:val="0E6110B0"/>
    <w:rsid w:val="0E6E03EF"/>
    <w:rsid w:val="0E73034D"/>
    <w:rsid w:val="0E745939"/>
    <w:rsid w:val="0E842E46"/>
    <w:rsid w:val="0E8A303B"/>
    <w:rsid w:val="0E907A05"/>
    <w:rsid w:val="0E965462"/>
    <w:rsid w:val="0E9C5931"/>
    <w:rsid w:val="0E9E0C90"/>
    <w:rsid w:val="0EA04B01"/>
    <w:rsid w:val="0EA37FCC"/>
    <w:rsid w:val="0EB977F0"/>
    <w:rsid w:val="0EC91830"/>
    <w:rsid w:val="0ECA50F7"/>
    <w:rsid w:val="0ECB1518"/>
    <w:rsid w:val="0ECE5049"/>
    <w:rsid w:val="0ED648DC"/>
    <w:rsid w:val="0EE80EB9"/>
    <w:rsid w:val="0EF00F53"/>
    <w:rsid w:val="0F13775A"/>
    <w:rsid w:val="0F1835DE"/>
    <w:rsid w:val="0F1B6E37"/>
    <w:rsid w:val="0F1C4739"/>
    <w:rsid w:val="0F2227BC"/>
    <w:rsid w:val="0F2473AE"/>
    <w:rsid w:val="0F322E85"/>
    <w:rsid w:val="0F415F8A"/>
    <w:rsid w:val="0F416E3D"/>
    <w:rsid w:val="0F4254A4"/>
    <w:rsid w:val="0F4E618A"/>
    <w:rsid w:val="0F56204A"/>
    <w:rsid w:val="0F59589E"/>
    <w:rsid w:val="0F5F45FE"/>
    <w:rsid w:val="0F655FB5"/>
    <w:rsid w:val="0F7B4CAF"/>
    <w:rsid w:val="0F7C33C7"/>
    <w:rsid w:val="0F8120BC"/>
    <w:rsid w:val="0F833B5D"/>
    <w:rsid w:val="0F871C1B"/>
    <w:rsid w:val="0F8751F8"/>
    <w:rsid w:val="0F887244"/>
    <w:rsid w:val="0F8B746B"/>
    <w:rsid w:val="0F927EE1"/>
    <w:rsid w:val="0F97417B"/>
    <w:rsid w:val="0F9A112B"/>
    <w:rsid w:val="0F9E6294"/>
    <w:rsid w:val="0FAC63E8"/>
    <w:rsid w:val="0FB932AD"/>
    <w:rsid w:val="0FC20017"/>
    <w:rsid w:val="0FC506CA"/>
    <w:rsid w:val="0FC5304C"/>
    <w:rsid w:val="0FC87CEA"/>
    <w:rsid w:val="0FD0001F"/>
    <w:rsid w:val="0FD5682E"/>
    <w:rsid w:val="0FD90F56"/>
    <w:rsid w:val="0FDF37CA"/>
    <w:rsid w:val="0FEE13CF"/>
    <w:rsid w:val="10041113"/>
    <w:rsid w:val="1006234D"/>
    <w:rsid w:val="100E0F91"/>
    <w:rsid w:val="101210C7"/>
    <w:rsid w:val="10160CF4"/>
    <w:rsid w:val="101920C1"/>
    <w:rsid w:val="101F4A8F"/>
    <w:rsid w:val="10242327"/>
    <w:rsid w:val="103A6756"/>
    <w:rsid w:val="10401F77"/>
    <w:rsid w:val="10402D2D"/>
    <w:rsid w:val="104A6951"/>
    <w:rsid w:val="10563548"/>
    <w:rsid w:val="10595825"/>
    <w:rsid w:val="106070C3"/>
    <w:rsid w:val="10675B8C"/>
    <w:rsid w:val="106C5BC8"/>
    <w:rsid w:val="106D2640"/>
    <w:rsid w:val="106D2F64"/>
    <w:rsid w:val="108118B3"/>
    <w:rsid w:val="1083670C"/>
    <w:rsid w:val="1085333E"/>
    <w:rsid w:val="1086042A"/>
    <w:rsid w:val="10870A2B"/>
    <w:rsid w:val="108B4076"/>
    <w:rsid w:val="109224E7"/>
    <w:rsid w:val="10AF4F7E"/>
    <w:rsid w:val="10B47866"/>
    <w:rsid w:val="10B63710"/>
    <w:rsid w:val="10B65D95"/>
    <w:rsid w:val="10BD1E46"/>
    <w:rsid w:val="10C64D44"/>
    <w:rsid w:val="10CA7A92"/>
    <w:rsid w:val="10D45B17"/>
    <w:rsid w:val="10DF1AE8"/>
    <w:rsid w:val="10E309F7"/>
    <w:rsid w:val="10E548CC"/>
    <w:rsid w:val="10F10820"/>
    <w:rsid w:val="10F42C5C"/>
    <w:rsid w:val="10F86CE2"/>
    <w:rsid w:val="1105181D"/>
    <w:rsid w:val="11064DC4"/>
    <w:rsid w:val="11076C11"/>
    <w:rsid w:val="11085182"/>
    <w:rsid w:val="1109435D"/>
    <w:rsid w:val="11094601"/>
    <w:rsid w:val="111C2F7A"/>
    <w:rsid w:val="111D4D9C"/>
    <w:rsid w:val="111F337A"/>
    <w:rsid w:val="11307E61"/>
    <w:rsid w:val="113F6AC6"/>
    <w:rsid w:val="11497BB6"/>
    <w:rsid w:val="114E66C5"/>
    <w:rsid w:val="115B4B8E"/>
    <w:rsid w:val="115D6DB4"/>
    <w:rsid w:val="1163049F"/>
    <w:rsid w:val="11665CA1"/>
    <w:rsid w:val="117B16DD"/>
    <w:rsid w:val="11845E93"/>
    <w:rsid w:val="118966C6"/>
    <w:rsid w:val="11934328"/>
    <w:rsid w:val="11A41E26"/>
    <w:rsid w:val="11B65AF0"/>
    <w:rsid w:val="11B768B9"/>
    <w:rsid w:val="11CB00E5"/>
    <w:rsid w:val="11CC783A"/>
    <w:rsid w:val="11D041FA"/>
    <w:rsid w:val="11E123B0"/>
    <w:rsid w:val="11F33A45"/>
    <w:rsid w:val="11FD6215"/>
    <w:rsid w:val="11FD7018"/>
    <w:rsid w:val="1203333B"/>
    <w:rsid w:val="12163B3D"/>
    <w:rsid w:val="121B096F"/>
    <w:rsid w:val="122C7A7F"/>
    <w:rsid w:val="125A33FD"/>
    <w:rsid w:val="125C48E2"/>
    <w:rsid w:val="12645AF2"/>
    <w:rsid w:val="12645E4D"/>
    <w:rsid w:val="126A598F"/>
    <w:rsid w:val="126E5537"/>
    <w:rsid w:val="12765EA2"/>
    <w:rsid w:val="128E046F"/>
    <w:rsid w:val="128E6BAD"/>
    <w:rsid w:val="12B3600C"/>
    <w:rsid w:val="12B37077"/>
    <w:rsid w:val="12C80001"/>
    <w:rsid w:val="12CF2955"/>
    <w:rsid w:val="12DE5FBF"/>
    <w:rsid w:val="12E01163"/>
    <w:rsid w:val="12EE7E21"/>
    <w:rsid w:val="12FD6063"/>
    <w:rsid w:val="13054DB2"/>
    <w:rsid w:val="13117BFA"/>
    <w:rsid w:val="131B6383"/>
    <w:rsid w:val="131C0407"/>
    <w:rsid w:val="132711CC"/>
    <w:rsid w:val="132F3FAD"/>
    <w:rsid w:val="133F2861"/>
    <w:rsid w:val="13404F8A"/>
    <w:rsid w:val="13471EE9"/>
    <w:rsid w:val="13586B77"/>
    <w:rsid w:val="135950FD"/>
    <w:rsid w:val="135E1F47"/>
    <w:rsid w:val="135E7D87"/>
    <w:rsid w:val="136C2009"/>
    <w:rsid w:val="13722DFF"/>
    <w:rsid w:val="13764038"/>
    <w:rsid w:val="13876257"/>
    <w:rsid w:val="138C0968"/>
    <w:rsid w:val="13950F4C"/>
    <w:rsid w:val="13951726"/>
    <w:rsid w:val="13AC1773"/>
    <w:rsid w:val="13C570E5"/>
    <w:rsid w:val="13DD7ADC"/>
    <w:rsid w:val="13E8200B"/>
    <w:rsid w:val="13FD7930"/>
    <w:rsid w:val="14146225"/>
    <w:rsid w:val="14187FE7"/>
    <w:rsid w:val="1424395D"/>
    <w:rsid w:val="142C4D36"/>
    <w:rsid w:val="14381A03"/>
    <w:rsid w:val="14396509"/>
    <w:rsid w:val="1439760C"/>
    <w:rsid w:val="143C2F52"/>
    <w:rsid w:val="14416E32"/>
    <w:rsid w:val="144533D7"/>
    <w:rsid w:val="14477FBA"/>
    <w:rsid w:val="14497A55"/>
    <w:rsid w:val="144D3B70"/>
    <w:rsid w:val="145435EA"/>
    <w:rsid w:val="14553922"/>
    <w:rsid w:val="1461581E"/>
    <w:rsid w:val="14641FAC"/>
    <w:rsid w:val="14660328"/>
    <w:rsid w:val="146C7DF1"/>
    <w:rsid w:val="146D70B2"/>
    <w:rsid w:val="14786E57"/>
    <w:rsid w:val="1488654D"/>
    <w:rsid w:val="148A7C4D"/>
    <w:rsid w:val="149337DE"/>
    <w:rsid w:val="149A4A98"/>
    <w:rsid w:val="149E74DF"/>
    <w:rsid w:val="14A0674C"/>
    <w:rsid w:val="14A170CF"/>
    <w:rsid w:val="14B3266E"/>
    <w:rsid w:val="14C111AC"/>
    <w:rsid w:val="14C418B6"/>
    <w:rsid w:val="14C966D5"/>
    <w:rsid w:val="14CD0420"/>
    <w:rsid w:val="14CF5677"/>
    <w:rsid w:val="14D00906"/>
    <w:rsid w:val="14D25167"/>
    <w:rsid w:val="14D53C66"/>
    <w:rsid w:val="14DD2C3C"/>
    <w:rsid w:val="14E577AF"/>
    <w:rsid w:val="14EE6EE4"/>
    <w:rsid w:val="14F755E1"/>
    <w:rsid w:val="14FA48E8"/>
    <w:rsid w:val="14FB10B7"/>
    <w:rsid w:val="151524FA"/>
    <w:rsid w:val="153737CA"/>
    <w:rsid w:val="153B4ABB"/>
    <w:rsid w:val="154B6C6C"/>
    <w:rsid w:val="15545B7C"/>
    <w:rsid w:val="155618F4"/>
    <w:rsid w:val="15592B10"/>
    <w:rsid w:val="1569490C"/>
    <w:rsid w:val="156B38FA"/>
    <w:rsid w:val="156E6948"/>
    <w:rsid w:val="15721212"/>
    <w:rsid w:val="15771D68"/>
    <w:rsid w:val="158631C6"/>
    <w:rsid w:val="15896802"/>
    <w:rsid w:val="158A681D"/>
    <w:rsid w:val="158D53FB"/>
    <w:rsid w:val="15956544"/>
    <w:rsid w:val="15975884"/>
    <w:rsid w:val="15A07FD8"/>
    <w:rsid w:val="15A76263"/>
    <w:rsid w:val="15AF052D"/>
    <w:rsid w:val="15B036FB"/>
    <w:rsid w:val="15B735B1"/>
    <w:rsid w:val="15C471A6"/>
    <w:rsid w:val="15D973BB"/>
    <w:rsid w:val="15DE1893"/>
    <w:rsid w:val="15E07DAC"/>
    <w:rsid w:val="15E73158"/>
    <w:rsid w:val="15EB4733"/>
    <w:rsid w:val="15F555B1"/>
    <w:rsid w:val="15FE4C1F"/>
    <w:rsid w:val="16087E1D"/>
    <w:rsid w:val="160C7454"/>
    <w:rsid w:val="161424FD"/>
    <w:rsid w:val="16167D00"/>
    <w:rsid w:val="162367C6"/>
    <w:rsid w:val="16444459"/>
    <w:rsid w:val="164B2F0F"/>
    <w:rsid w:val="166070C4"/>
    <w:rsid w:val="166512E0"/>
    <w:rsid w:val="167504A0"/>
    <w:rsid w:val="168851BE"/>
    <w:rsid w:val="168E5801"/>
    <w:rsid w:val="169326D4"/>
    <w:rsid w:val="1695038C"/>
    <w:rsid w:val="169C3162"/>
    <w:rsid w:val="169F6585"/>
    <w:rsid w:val="16A10883"/>
    <w:rsid w:val="16A664E7"/>
    <w:rsid w:val="16A954A0"/>
    <w:rsid w:val="16AA41F2"/>
    <w:rsid w:val="16AA517E"/>
    <w:rsid w:val="16DB743F"/>
    <w:rsid w:val="16FA3617"/>
    <w:rsid w:val="170D692B"/>
    <w:rsid w:val="17176A08"/>
    <w:rsid w:val="171B5C72"/>
    <w:rsid w:val="171C5A56"/>
    <w:rsid w:val="172C2361"/>
    <w:rsid w:val="172F68A1"/>
    <w:rsid w:val="173A482B"/>
    <w:rsid w:val="173D00EB"/>
    <w:rsid w:val="174A3538"/>
    <w:rsid w:val="175011B4"/>
    <w:rsid w:val="175E0F34"/>
    <w:rsid w:val="17610384"/>
    <w:rsid w:val="17623B08"/>
    <w:rsid w:val="176E2E28"/>
    <w:rsid w:val="17701D14"/>
    <w:rsid w:val="17735226"/>
    <w:rsid w:val="177D0F0A"/>
    <w:rsid w:val="17982B27"/>
    <w:rsid w:val="17A41B6E"/>
    <w:rsid w:val="17A80401"/>
    <w:rsid w:val="17CC5586"/>
    <w:rsid w:val="17D211A4"/>
    <w:rsid w:val="17D462F8"/>
    <w:rsid w:val="18030ED9"/>
    <w:rsid w:val="180603C1"/>
    <w:rsid w:val="18077710"/>
    <w:rsid w:val="180841A7"/>
    <w:rsid w:val="180B10BC"/>
    <w:rsid w:val="182732B8"/>
    <w:rsid w:val="183966A1"/>
    <w:rsid w:val="183E18BF"/>
    <w:rsid w:val="18407B66"/>
    <w:rsid w:val="1844637C"/>
    <w:rsid w:val="18544D1A"/>
    <w:rsid w:val="18610CDC"/>
    <w:rsid w:val="1864120C"/>
    <w:rsid w:val="186E720A"/>
    <w:rsid w:val="187F204A"/>
    <w:rsid w:val="18833090"/>
    <w:rsid w:val="188950A5"/>
    <w:rsid w:val="188B4CA2"/>
    <w:rsid w:val="1890336F"/>
    <w:rsid w:val="18925080"/>
    <w:rsid w:val="189310B2"/>
    <w:rsid w:val="189F624C"/>
    <w:rsid w:val="18A64941"/>
    <w:rsid w:val="18B03A11"/>
    <w:rsid w:val="18B416EF"/>
    <w:rsid w:val="18B4534B"/>
    <w:rsid w:val="18BC0716"/>
    <w:rsid w:val="18BD198D"/>
    <w:rsid w:val="18CA56B5"/>
    <w:rsid w:val="18CF47FF"/>
    <w:rsid w:val="18D40A75"/>
    <w:rsid w:val="18D94D16"/>
    <w:rsid w:val="18DD51E8"/>
    <w:rsid w:val="18E3544F"/>
    <w:rsid w:val="18EF453A"/>
    <w:rsid w:val="18F15B46"/>
    <w:rsid w:val="18F95E86"/>
    <w:rsid w:val="18FF01CA"/>
    <w:rsid w:val="19052F84"/>
    <w:rsid w:val="190A3122"/>
    <w:rsid w:val="190B2B37"/>
    <w:rsid w:val="190E4E8A"/>
    <w:rsid w:val="19131B71"/>
    <w:rsid w:val="19220FE2"/>
    <w:rsid w:val="192532C5"/>
    <w:rsid w:val="193A686E"/>
    <w:rsid w:val="193F1B3B"/>
    <w:rsid w:val="194D3B0B"/>
    <w:rsid w:val="194E3A44"/>
    <w:rsid w:val="19585D73"/>
    <w:rsid w:val="195A73F1"/>
    <w:rsid w:val="196A645F"/>
    <w:rsid w:val="196B0A66"/>
    <w:rsid w:val="197B64ED"/>
    <w:rsid w:val="19873C05"/>
    <w:rsid w:val="19910120"/>
    <w:rsid w:val="199724DC"/>
    <w:rsid w:val="19AC242B"/>
    <w:rsid w:val="19BE1FD3"/>
    <w:rsid w:val="19EB3939"/>
    <w:rsid w:val="19FC5A15"/>
    <w:rsid w:val="1A0822E3"/>
    <w:rsid w:val="1A17750A"/>
    <w:rsid w:val="1A1C66C0"/>
    <w:rsid w:val="1A277BA9"/>
    <w:rsid w:val="1A2F1AD8"/>
    <w:rsid w:val="1A3B5640"/>
    <w:rsid w:val="1A4163E2"/>
    <w:rsid w:val="1A41796C"/>
    <w:rsid w:val="1A42393B"/>
    <w:rsid w:val="1A517639"/>
    <w:rsid w:val="1A5C3205"/>
    <w:rsid w:val="1A622000"/>
    <w:rsid w:val="1A6527A5"/>
    <w:rsid w:val="1A794A02"/>
    <w:rsid w:val="1A7A326C"/>
    <w:rsid w:val="1A82037F"/>
    <w:rsid w:val="1A887087"/>
    <w:rsid w:val="1AAC6DF9"/>
    <w:rsid w:val="1AAD45DE"/>
    <w:rsid w:val="1AAF29A7"/>
    <w:rsid w:val="1AB00103"/>
    <w:rsid w:val="1AC75354"/>
    <w:rsid w:val="1ADB00F7"/>
    <w:rsid w:val="1AF90808"/>
    <w:rsid w:val="1AF95EAB"/>
    <w:rsid w:val="1AFF273F"/>
    <w:rsid w:val="1B046F80"/>
    <w:rsid w:val="1B193AF0"/>
    <w:rsid w:val="1B1C6F45"/>
    <w:rsid w:val="1B283099"/>
    <w:rsid w:val="1B3267B5"/>
    <w:rsid w:val="1B40161D"/>
    <w:rsid w:val="1B436225"/>
    <w:rsid w:val="1B441859"/>
    <w:rsid w:val="1B570DF9"/>
    <w:rsid w:val="1B582B41"/>
    <w:rsid w:val="1B611212"/>
    <w:rsid w:val="1B6606B1"/>
    <w:rsid w:val="1B6813E9"/>
    <w:rsid w:val="1B7454BA"/>
    <w:rsid w:val="1B770BD4"/>
    <w:rsid w:val="1B7D30BD"/>
    <w:rsid w:val="1B7E3F3B"/>
    <w:rsid w:val="1B8B5C03"/>
    <w:rsid w:val="1B90546C"/>
    <w:rsid w:val="1B907FE7"/>
    <w:rsid w:val="1B9C6391"/>
    <w:rsid w:val="1B9F69DD"/>
    <w:rsid w:val="1BB75506"/>
    <w:rsid w:val="1BB82513"/>
    <w:rsid w:val="1BD02274"/>
    <w:rsid w:val="1BE3538E"/>
    <w:rsid w:val="1BF754B3"/>
    <w:rsid w:val="1C0A7174"/>
    <w:rsid w:val="1C137174"/>
    <w:rsid w:val="1C1A28A7"/>
    <w:rsid w:val="1C1D0CC4"/>
    <w:rsid w:val="1C220E5D"/>
    <w:rsid w:val="1C2B5D37"/>
    <w:rsid w:val="1C3123B9"/>
    <w:rsid w:val="1C3312F9"/>
    <w:rsid w:val="1C357E39"/>
    <w:rsid w:val="1C450915"/>
    <w:rsid w:val="1C4E698C"/>
    <w:rsid w:val="1C536B8E"/>
    <w:rsid w:val="1C592CFD"/>
    <w:rsid w:val="1C5E7925"/>
    <w:rsid w:val="1C5F147B"/>
    <w:rsid w:val="1C6E5378"/>
    <w:rsid w:val="1C74073D"/>
    <w:rsid w:val="1C7A2475"/>
    <w:rsid w:val="1C855027"/>
    <w:rsid w:val="1CB25FAA"/>
    <w:rsid w:val="1CBC2CF5"/>
    <w:rsid w:val="1CBC4A41"/>
    <w:rsid w:val="1CBC6F76"/>
    <w:rsid w:val="1CC01D49"/>
    <w:rsid w:val="1CC535DE"/>
    <w:rsid w:val="1CCA3340"/>
    <w:rsid w:val="1CD35DC4"/>
    <w:rsid w:val="1CD57167"/>
    <w:rsid w:val="1CD94ECD"/>
    <w:rsid w:val="1CDC5D3E"/>
    <w:rsid w:val="1CE1642E"/>
    <w:rsid w:val="1CED73FC"/>
    <w:rsid w:val="1CF3211F"/>
    <w:rsid w:val="1CF814E3"/>
    <w:rsid w:val="1CFD070F"/>
    <w:rsid w:val="1D0764B6"/>
    <w:rsid w:val="1D0902C5"/>
    <w:rsid w:val="1D0D6F95"/>
    <w:rsid w:val="1D107795"/>
    <w:rsid w:val="1D1D0FA8"/>
    <w:rsid w:val="1D1D4F78"/>
    <w:rsid w:val="1D225783"/>
    <w:rsid w:val="1D24052A"/>
    <w:rsid w:val="1D241DC2"/>
    <w:rsid w:val="1D2422D8"/>
    <w:rsid w:val="1D282738"/>
    <w:rsid w:val="1D2A0BDE"/>
    <w:rsid w:val="1D387E97"/>
    <w:rsid w:val="1D48485B"/>
    <w:rsid w:val="1D577D24"/>
    <w:rsid w:val="1D5A5BC1"/>
    <w:rsid w:val="1D5F6196"/>
    <w:rsid w:val="1D6132A5"/>
    <w:rsid w:val="1D716F33"/>
    <w:rsid w:val="1D772925"/>
    <w:rsid w:val="1D7E73A2"/>
    <w:rsid w:val="1D7F0D73"/>
    <w:rsid w:val="1D8E56D5"/>
    <w:rsid w:val="1D9A4E1B"/>
    <w:rsid w:val="1D9B4C90"/>
    <w:rsid w:val="1D9E714C"/>
    <w:rsid w:val="1DA329DD"/>
    <w:rsid w:val="1DA47385"/>
    <w:rsid w:val="1DAE66CB"/>
    <w:rsid w:val="1DAF64EE"/>
    <w:rsid w:val="1DBE4925"/>
    <w:rsid w:val="1DC67250"/>
    <w:rsid w:val="1DC71B64"/>
    <w:rsid w:val="1DCF66E8"/>
    <w:rsid w:val="1DDD6DD2"/>
    <w:rsid w:val="1DEA7BF6"/>
    <w:rsid w:val="1DEB55C5"/>
    <w:rsid w:val="1DF148B0"/>
    <w:rsid w:val="1DF84828"/>
    <w:rsid w:val="1DFA7EFC"/>
    <w:rsid w:val="1E0E2B0B"/>
    <w:rsid w:val="1E110FD6"/>
    <w:rsid w:val="1E1467F1"/>
    <w:rsid w:val="1E230B66"/>
    <w:rsid w:val="1E330225"/>
    <w:rsid w:val="1E337B2F"/>
    <w:rsid w:val="1E4A3FC0"/>
    <w:rsid w:val="1E6130BB"/>
    <w:rsid w:val="1E6F58A1"/>
    <w:rsid w:val="1E7A43DA"/>
    <w:rsid w:val="1E842F44"/>
    <w:rsid w:val="1E844046"/>
    <w:rsid w:val="1E977643"/>
    <w:rsid w:val="1EAA2CB1"/>
    <w:rsid w:val="1EB15DEE"/>
    <w:rsid w:val="1EB51549"/>
    <w:rsid w:val="1EB51819"/>
    <w:rsid w:val="1EB649D8"/>
    <w:rsid w:val="1EBC3E33"/>
    <w:rsid w:val="1EC64F86"/>
    <w:rsid w:val="1ED00015"/>
    <w:rsid w:val="1EDA3767"/>
    <w:rsid w:val="1EDC7A74"/>
    <w:rsid w:val="1EDD6CF4"/>
    <w:rsid w:val="1EE066D3"/>
    <w:rsid w:val="1EE47CC6"/>
    <w:rsid w:val="1EEE4D83"/>
    <w:rsid w:val="1EF31C58"/>
    <w:rsid w:val="1EFF2FFD"/>
    <w:rsid w:val="1F0020AB"/>
    <w:rsid w:val="1F0829B6"/>
    <w:rsid w:val="1F095C2A"/>
    <w:rsid w:val="1F226CEB"/>
    <w:rsid w:val="1F2914AF"/>
    <w:rsid w:val="1F2F4307"/>
    <w:rsid w:val="1F34517D"/>
    <w:rsid w:val="1F447178"/>
    <w:rsid w:val="1F455D9B"/>
    <w:rsid w:val="1F466231"/>
    <w:rsid w:val="1F491061"/>
    <w:rsid w:val="1F4A6051"/>
    <w:rsid w:val="1F500E3F"/>
    <w:rsid w:val="1F5935A6"/>
    <w:rsid w:val="1F5A12FF"/>
    <w:rsid w:val="1F6629A0"/>
    <w:rsid w:val="1F66307C"/>
    <w:rsid w:val="1F7C1C3C"/>
    <w:rsid w:val="1F8361A3"/>
    <w:rsid w:val="1FA857DC"/>
    <w:rsid w:val="1FB007D1"/>
    <w:rsid w:val="1FB0588A"/>
    <w:rsid w:val="1FB16A7A"/>
    <w:rsid w:val="1FB35695"/>
    <w:rsid w:val="1FB812A8"/>
    <w:rsid w:val="1FB81CEA"/>
    <w:rsid w:val="1FD0538F"/>
    <w:rsid w:val="1FD24F30"/>
    <w:rsid w:val="1FDC333E"/>
    <w:rsid w:val="1FE7539E"/>
    <w:rsid w:val="1FEB1141"/>
    <w:rsid w:val="20053446"/>
    <w:rsid w:val="20140CF9"/>
    <w:rsid w:val="201F4ED7"/>
    <w:rsid w:val="2020322B"/>
    <w:rsid w:val="20250841"/>
    <w:rsid w:val="2039362C"/>
    <w:rsid w:val="20671BE0"/>
    <w:rsid w:val="2077154B"/>
    <w:rsid w:val="207A4236"/>
    <w:rsid w:val="207B5E93"/>
    <w:rsid w:val="20894FFB"/>
    <w:rsid w:val="20905F6A"/>
    <w:rsid w:val="20963CB8"/>
    <w:rsid w:val="20976FE5"/>
    <w:rsid w:val="209C6AAE"/>
    <w:rsid w:val="209E6D4E"/>
    <w:rsid w:val="20A42AA5"/>
    <w:rsid w:val="20A81A1B"/>
    <w:rsid w:val="20B07FB6"/>
    <w:rsid w:val="20B34AA7"/>
    <w:rsid w:val="20B646FB"/>
    <w:rsid w:val="20BA66C2"/>
    <w:rsid w:val="20E40997"/>
    <w:rsid w:val="20EA270A"/>
    <w:rsid w:val="20EA3D9E"/>
    <w:rsid w:val="20EC0751"/>
    <w:rsid w:val="20F51FFE"/>
    <w:rsid w:val="20F87A83"/>
    <w:rsid w:val="21034A19"/>
    <w:rsid w:val="210A35D4"/>
    <w:rsid w:val="21121B09"/>
    <w:rsid w:val="21190166"/>
    <w:rsid w:val="21264577"/>
    <w:rsid w:val="21337F87"/>
    <w:rsid w:val="213A6353"/>
    <w:rsid w:val="213B0D93"/>
    <w:rsid w:val="213B74B1"/>
    <w:rsid w:val="2140734C"/>
    <w:rsid w:val="214D5DE0"/>
    <w:rsid w:val="215A2310"/>
    <w:rsid w:val="21647882"/>
    <w:rsid w:val="218B3220"/>
    <w:rsid w:val="218F5757"/>
    <w:rsid w:val="21952677"/>
    <w:rsid w:val="21C33887"/>
    <w:rsid w:val="21C629C3"/>
    <w:rsid w:val="21CE2911"/>
    <w:rsid w:val="21DA015C"/>
    <w:rsid w:val="21DA159C"/>
    <w:rsid w:val="21DC5877"/>
    <w:rsid w:val="21DE318A"/>
    <w:rsid w:val="21E71EC6"/>
    <w:rsid w:val="21EE5F11"/>
    <w:rsid w:val="21EF5B80"/>
    <w:rsid w:val="21F05CF8"/>
    <w:rsid w:val="21F15A4A"/>
    <w:rsid w:val="21F7321C"/>
    <w:rsid w:val="21FB24D7"/>
    <w:rsid w:val="21FE18F0"/>
    <w:rsid w:val="220036E4"/>
    <w:rsid w:val="220963B8"/>
    <w:rsid w:val="221D0D96"/>
    <w:rsid w:val="22273D62"/>
    <w:rsid w:val="22280ABD"/>
    <w:rsid w:val="222A50C8"/>
    <w:rsid w:val="222C7491"/>
    <w:rsid w:val="22334114"/>
    <w:rsid w:val="2245341D"/>
    <w:rsid w:val="224623B3"/>
    <w:rsid w:val="224B1466"/>
    <w:rsid w:val="22576990"/>
    <w:rsid w:val="225A6AEA"/>
    <w:rsid w:val="225C42C2"/>
    <w:rsid w:val="2260408C"/>
    <w:rsid w:val="227402EA"/>
    <w:rsid w:val="22760B92"/>
    <w:rsid w:val="22777ADA"/>
    <w:rsid w:val="227C4FA7"/>
    <w:rsid w:val="227E4387"/>
    <w:rsid w:val="22800A36"/>
    <w:rsid w:val="228346B5"/>
    <w:rsid w:val="228512F6"/>
    <w:rsid w:val="22975D16"/>
    <w:rsid w:val="229A4C25"/>
    <w:rsid w:val="229B4DEB"/>
    <w:rsid w:val="229D32F8"/>
    <w:rsid w:val="22A25855"/>
    <w:rsid w:val="22AF4D3A"/>
    <w:rsid w:val="22B003CA"/>
    <w:rsid w:val="22C047F5"/>
    <w:rsid w:val="22C06838"/>
    <w:rsid w:val="22D141D1"/>
    <w:rsid w:val="22D970A7"/>
    <w:rsid w:val="22E84906"/>
    <w:rsid w:val="22E9694F"/>
    <w:rsid w:val="22F47480"/>
    <w:rsid w:val="22F669A6"/>
    <w:rsid w:val="22FE7CA0"/>
    <w:rsid w:val="231774AE"/>
    <w:rsid w:val="231E2DAC"/>
    <w:rsid w:val="23262BD3"/>
    <w:rsid w:val="23281DD7"/>
    <w:rsid w:val="232D6A8D"/>
    <w:rsid w:val="23307C29"/>
    <w:rsid w:val="233F2DE9"/>
    <w:rsid w:val="233F2F29"/>
    <w:rsid w:val="2344762F"/>
    <w:rsid w:val="2346654E"/>
    <w:rsid w:val="235E3157"/>
    <w:rsid w:val="23631084"/>
    <w:rsid w:val="236478D2"/>
    <w:rsid w:val="23774CA3"/>
    <w:rsid w:val="237751AC"/>
    <w:rsid w:val="2378337E"/>
    <w:rsid w:val="23786DD2"/>
    <w:rsid w:val="2378718E"/>
    <w:rsid w:val="237B54CD"/>
    <w:rsid w:val="237C3061"/>
    <w:rsid w:val="237E19F3"/>
    <w:rsid w:val="238B006A"/>
    <w:rsid w:val="238E753A"/>
    <w:rsid w:val="2398676C"/>
    <w:rsid w:val="23A456C2"/>
    <w:rsid w:val="23B74682"/>
    <w:rsid w:val="23C070E9"/>
    <w:rsid w:val="23C35A13"/>
    <w:rsid w:val="23C95D5B"/>
    <w:rsid w:val="23D96CB4"/>
    <w:rsid w:val="23DE1C48"/>
    <w:rsid w:val="23F35FBC"/>
    <w:rsid w:val="23F750F3"/>
    <w:rsid w:val="240210CD"/>
    <w:rsid w:val="24092228"/>
    <w:rsid w:val="240D04BE"/>
    <w:rsid w:val="241000C3"/>
    <w:rsid w:val="241461F0"/>
    <w:rsid w:val="24150285"/>
    <w:rsid w:val="2418246B"/>
    <w:rsid w:val="241D2600"/>
    <w:rsid w:val="24256A3C"/>
    <w:rsid w:val="2433622F"/>
    <w:rsid w:val="2435126F"/>
    <w:rsid w:val="24444AA7"/>
    <w:rsid w:val="245E67A0"/>
    <w:rsid w:val="246820EE"/>
    <w:rsid w:val="246912A6"/>
    <w:rsid w:val="246E08BA"/>
    <w:rsid w:val="246F37AC"/>
    <w:rsid w:val="24735ECD"/>
    <w:rsid w:val="24772774"/>
    <w:rsid w:val="247973AD"/>
    <w:rsid w:val="247B7F70"/>
    <w:rsid w:val="24846DB7"/>
    <w:rsid w:val="248A0756"/>
    <w:rsid w:val="248C0124"/>
    <w:rsid w:val="249F062A"/>
    <w:rsid w:val="24AE0BA1"/>
    <w:rsid w:val="24BF09F7"/>
    <w:rsid w:val="24C648CE"/>
    <w:rsid w:val="24CF3471"/>
    <w:rsid w:val="24DE38CC"/>
    <w:rsid w:val="24FB72EC"/>
    <w:rsid w:val="25006BE0"/>
    <w:rsid w:val="250278D3"/>
    <w:rsid w:val="25090E6C"/>
    <w:rsid w:val="25137D57"/>
    <w:rsid w:val="25155C01"/>
    <w:rsid w:val="25167163"/>
    <w:rsid w:val="252A663B"/>
    <w:rsid w:val="252D53FE"/>
    <w:rsid w:val="2536704D"/>
    <w:rsid w:val="253C0EF5"/>
    <w:rsid w:val="25461F76"/>
    <w:rsid w:val="25627013"/>
    <w:rsid w:val="256F145C"/>
    <w:rsid w:val="25727DEA"/>
    <w:rsid w:val="25853B30"/>
    <w:rsid w:val="25855273"/>
    <w:rsid w:val="258A6C03"/>
    <w:rsid w:val="258C1B38"/>
    <w:rsid w:val="259136F1"/>
    <w:rsid w:val="25AF3391"/>
    <w:rsid w:val="25B3068C"/>
    <w:rsid w:val="25BF3561"/>
    <w:rsid w:val="25BF7042"/>
    <w:rsid w:val="25DA2065"/>
    <w:rsid w:val="25DF5936"/>
    <w:rsid w:val="25E02125"/>
    <w:rsid w:val="25E42F4C"/>
    <w:rsid w:val="25E578A3"/>
    <w:rsid w:val="25E92575"/>
    <w:rsid w:val="25E97009"/>
    <w:rsid w:val="25EC2D81"/>
    <w:rsid w:val="26021E54"/>
    <w:rsid w:val="26092E0C"/>
    <w:rsid w:val="261E6F89"/>
    <w:rsid w:val="26211AAB"/>
    <w:rsid w:val="2623150A"/>
    <w:rsid w:val="2628453A"/>
    <w:rsid w:val="262E2C1F"/>
    <w:rsid w:val="262E684A"/>
    <w:rsid w:val="26382C80"/>
    <w:rsid w:val="26416869"/>
    <w:rsid w:val="264F486A"/>
    <w:rsid w:val="26532CDB"/>
    <w:rsid w:val="265D512E"/>
    <w:rsid w:val="267174EE"/>
    <w:rsid w:val="26830FAB"/>
    <w:rsid w:val="268462E0"/>
    <w:rsid w:val="26904995"/>
    <w:rsid w:val="269937F3"/>
    <w:rsid w:val="269B5D23"/>
    <w:rsid w:val="269D7ECD"/>
    <w:rsid w:val="26AA1D61"/>
    <w:rsid w:val="26B24DF9"/>
    <w:rsid w:val="26BF6752"/>
    <w:rsid w:val="26C463D4"/>
    <w:rsid w:val="26D9543C"/>
    <w:rsid w:val="26DB4B00"/>
    <w:rsid w:val="26DD00C8"/>
    <w:rsid w:val="26F10691"/>
    <w:rsid w:val="26F772A4"/>
    <w:rsid w:val="26F970D3"/>
    <w:rsid w:val="27003DB6"/>
    <w:rsid w:val="27037402"/>
    <w:rsid w:val="2705431F"/>
    <w:rsid w:val="270629BE"/>
    <w:rsid w:val="270917D4"/>
    <w:rsid w:val="270B46B2"/>
    <w:rsid w:val="273C777E"/>
    <w:rsid w:val="274822EA"/>
    <w:rsid w:val="274A5031"/>
    <w:rsid w:val="2755746C"/>
    <w:rsid w:val="2762237B"/>
    <w:rsid w:val="276709BA"/>
    <w:rsid w:val="276D12EA"/>
    <w:rsid w:val="277057A2"/>
    <w:rsid w:val="27711E9C"/>
    <w:rsid w:val="27740F46"/>
    <w:rsid w:val="277B168E"/>
    <w:rsid w:val="277C7B58"/>
    <w:rsid w:val="27844389"/>
    <w:rsid w:val="27972120"/>
    <w:rsid w:val="27A04C51"/>
    <w:rsid w:val="27C30448"/>
    <w:rsid w:val="27C44CB6"/>
    <w:rsid w:val="27C97E1E"/>
    <w:rsid w:val="27CB43C4"/>
    <w:rsid w:val="27CE6FA3"/>
    <w:rsid w:val="27D74B17"/>
    <w:rsid w:val="27FA15F4"/>
    <w:rsid w:val="28052881"/>
    <w:rsid w:val="280E0B74"/>
    <w:rsid w:val="28101DD7"/>
    <w:rsid w:val="28164CA1"/>
    <w:rsid w:val="281973EE"/>
    <w:rsid w:val="281B6A29"/>
    <w:rsid w:val="281E29E0"/>
    <w:rsid w:val="28231989"/>
    <w:rsid w:val="282E71A7"/>
    <w:rsid w:val="28380FD8"/>
    <w:rsid w:val="283D31CC"/>
    <w:rsid w:val="2843570A"/>
    <w:rsid w:val="284440E7"/>
    <w:rsid w:val="284E28FF"/>
    <w:rsid w:val="28547D18"/>
    <w:rsid w:val="285F1E6C"/>
    <w:rsid w:val="28751291"/>
    <w:rsid w:val="2884706F"/>
    <w:rsid w:val="28863FD2"/>
    <w:rsid w:val="28871E01"/>
    <w:rsid w:val="2893354B"/>
    <w:rsid w:val="28A157E6"/>
    <w:rsid w:val="28C11323"/>
    <w:rsid w:val="28C45A67"/>
    <w:rsid w:val="28CC03F4"/>
    <w:rsid w:val="28D417FF"/>
    <w:rsid w:val="28DB111E"/>
    <w:rsid w:val="28DE18DB"/>
    <w:rsid w:val="28E80A03"/>
    <w:rsid w:val="28EA17C3"/>
    <w:rsid w:val="28EC45F2"/>
    <w:rsid w:val="29080D00"/>
    <w:rsid w:val="291424E7"/>
    <w:rsid w:val="29164D24"/>
    <w:rsid w:val="291A4500"/>
    <w:rsid w:val="29206EB8"/>
    <w:rsid w:val="29233D8C"/>
    <w:rsid w:val="292408D7"/>
    <w:rsid w:val="29247DCA"/>
    <w:rsid w:val="292C4477"/>
    <w:rsid w:val="29492535"/>
    <w:rsid w:val="294D13C9"/>
    <w:rsid w:val="294E5663"/>
    <w:rsid w:val="29583A35"/>
    <w:rsid w:val="29595666"/>
    <w:rsid w:val="296D0FAA"/>
    <w:rsid w:val="296E42B6"/>
    <w:rsid w:val="297E0FC2"/>
    <w:rsid w:val="29874881"/>
    <w:rsid w:val="299A1422"/>
    <w:rsid w:val="29BA649E"/>
    <w:rsid w:val="29BA7201"/>
    <w:rsid w:val="29BD69C6"/>
    <w:rsid w:val="29C35948"/>
    <w:rsid w:val="29C40BAA"/>
    <w:rsid w:val="29C5731F"/>
    <w:rsid w:val="29CF0B14"/>
    <w:rsid w:val="29D94743"/>
    <w:rsid w:val="29E05449"/>
    <w:rsid w:val="29E325E0"/>
    <w:rsid w:val="29E42E33"/>
    <w:rsid w:val="29EE439A"/>
    <w:rsid w:val="29F55728"/>
    <w:rsid w:val="29FF3E7C"/>
    <w:rsid w:val="2A050A91"/>
    <w:rsid w:val="2A067935"/>
    <w:rsid w:val="2A081297"/>
    <w:rsid w:val="2A0D1E04"/>
    <w:rsid w:val="2A0E0598"/>
    <w:rsid w:val="2A126412"/>
    <w:rsid w:val="2A13795C"/>
    <w:rsid w:val="2A157F17"/>
    <w:rsid w:val="2A2D4EC2"/>
    <w:rsid w:val="2A3B2392"/>
    <w:rsid w:val="2A4006C9"/>
    <w:rsid w:val="2A452503"/>
    <w:rsid w:val="2A485F9A"/>
    <w:rsid w:val="2A6A255E"/>
    <w:rsid w:val="2A6A7126"/>
    <w:rsid w:val="2A7B2900"/>
    <w:rsid w:val="2A882BD1"/>
    <w:rsid w:val="2A985ACC"/>
    <w:rsid w:val="2A9B183F"/>
    <w:rsid w:val="2AA106A8"/>
    <w:rsid w:val="2AAE6678"/>
    <w:rsid w:val="2AAF2DFD"/>
    <w:rsid w:val="2AB54619"/>
    <w:rsid w:val="2ABC6246"/>
    <w:rsid w:val="2ADC22B0"/>
    <w:rsid w:val="2ADD7AB1"/>
    <w:rsid w:val="2AE445FC"/>
    <w:rsid w:val="2AEB08D9"/>
    <w:rsid w:val="2AF279AD"/>
    <w:rsid w:val="2AFA02E1"/>
    <w:rsid w:val="2B093BA6"/>
    <w:rsid w:val="2B130CED"/>
    <w:rsid w:val="2B164A38"/>
    <w:rsid w:val="2B1A5504"/>
    <w:rsid w:val="2B2838DB"/>
    <w:rsid w:val="2B2F1AD2"/>
    <w:rsid w:val="2B350BEA"/>
    <w:rsid w:val="2B3909E3"/>
    <w:rsid w:val="2B3C0746"/>
    <w:rsid w:val="2B4E526A"/>
    <w:rsid w:val="2B554E3D"/>
    <w:rsid w:val="2B6628BD"/>
    <w:rsid w:val="2B66657F"/>
    <w:rsid w:val="2B69017C"/>
    <w:rsid w:val="2B7E5B63"/>
    <w:rsid w:val="2B82576B"/>
    <w:rsid w:val="2B864AB4"/>
    <w:rsid w:val="2B991B77"/>
    <w:rsid w:val="2BA02C39"/>
    <w:rsid w:val="2BA25457"/>
    <w:rsid w:val="2BA936A8"/>
    <w:rsid w:val="2BAF21A8"/>
    <w:rsid w:val="2BB90EC9"/>
    <w:rsid w:val="2BC71FA0"/>
    <w:rsid w:val="2BC8793B"/>
    <w:rsid w:val="2BC922D4"/>
    <w:rsid w:val="2BCF5549"/>
    <w:rsid w:val="2BCF5864"/>
    <w:rsid w:val="2BD24BD7"/>
    <w:rsid w:val="2BE6392B"/>
    <w:rsid w:val="2BE768C4"/>
    <w:rsid w:val="2BF65788"/>
    <w:rsid w:val="2BFF5CAE"/>
    <w:rsid w:val="2C16234E"/>
    <w:rsid w:val="2C201A8D"/>
    <w:rsid w:val="2C2145B8"/>
    <w:rsid w:val="2C2E04EC"/>
    <w:rsid w:val="2C315A5A"/>
    <w:rsid w:val="2C4B1C25"/>
    <w:rsid w:val="2C4C35F9"/>
    <w:rsid w:val="2C516F61"/>
    <w:rsid w:val="2C6941AB"/>
    <w:rsid w:val="2C6F1DC9"/>
    <w:rsid w:val="2C70553E"/>
    <w:rsid w:val="2C7453E0"/>
    <w:rsid w:val="2C81546B"/>
    <w:rsid w:val="2C92607C"/>
    <w:rsid w:val="2C95555B"/>
    <w:rsid w:val="2C974D21"/>
    <w:rsid w:val="2CA72208"/>
    <w:rsid w:val="2CA87C9A"/>
    <w:rsid w:val="2CA926BE"/>
    <w:rsid w:val="2CBB2048"/>
    <w:rsid w:val="2CC32778"/>
    <w:rsid w:val="2CCE3BE1"/>
    <w:rsid w:val="2CD074A8"/>
    <w:rsid w:val="2CE0222B"/>
    <w:rsid w:val="2CE474D2"/>
    <w:rsid w:val="2CF36CB7"/>
    <w:rsid w:val="2CF41CC7"/>
    <w:rsid w:val="2CF92C60"/>
    <w:rsid w:val="2D016192"/>
    <w:rsid w:val="2D087520"/>
    <w:rsid w:val="2D0B3156"/>
    <w:rsid w:val="2D156D1F"/>
    <w:rsid w:val="2D1D2F7C"/>
    <w:rsid w:val="2D1E7451"/>
    <w:rsid w:val="2D3C366E"/>
    <w:rsid w:val="2D4B60AF"/>
    <w:rsid w:val="2D4C72DE"/>
    <w:rsid w:val="2D6E540C"/>
    <w:rsid w:val="2D785A33"/>
    <w:rsid w:val="2D7F51D0"/>
    <w:rsid w:val="2D8F1BDD"/>
    <w:rsid w:val="2D9C43CC"/>
    <w:rsid w:val="2D9E56F5"/>
    <w:rsid w:val="2DA03BFD"/>
    <w:rsid w:val="2DA07E87"/>
    <w:rsid w:val="2DAF5F38"/>
    <w:rsid w:val="2DBD464F"/>
    <w:rsid w:val="2DC23700"/>
    <w:rsid w:val="2DC37694"/>
    <w:rsid w:val="2DD11CFC"/>
    <w:rsid w:val="2DD1561D"/>
    <w:rsid w:val="2DDC5A8B"/>
    <w:rsid w:val="2DE11BE2"/>
    <w:rsid w:val="2DE439E6"/>
    <w:rsid w:val="2DE87463"/>
    <w:rsid w:val="2DF66ED3"/>
    <w:rsid w:val="2E09283B"/>
    <w:rsid w:val="2E1765BF"/>
    <w:rsid w:val="2E1B1093"/>
    <w:rsid w:val="2E1E2345"/>
    <w:rsid w:val="2E202BA5"/>
    <w:rsid w:val="2E215672"/>
    <w:rsid w:val="2E304755"/>
    <w:rsid w:val="2E4A67F6"/>
    <w:rsid w:val="2E51202C"/>
    <w:rsid w:val="2E59284B"/>
    <w:rsid w:val="2E665335"/>
    <w:rsid w:val="2E667F96"/>
    <w:rsid w:val="2E690CC0"/>
    <w:rsid w:val="2E6D0C79"/>
    <w:rsid w:val="2E7C79D0"/>
    <w:rsid w:val="2E8226AB"/>
    <w:rsid w:val="2E8B665B"/>
    <w:rsid w:val="2E8E5171"/>
    <w:rsid w:val="2E8F5602"/>
    <w:rsid w:val="2EA86A83"/>
    <w:rsid w:val="2EAB61C4"/>
    <w:rsid w:val="2EB208F7"/>
    <w:rsid w:val="2EB711FE"/>
    <w:rsid w:val="2EBA6F40"/>
    <w:rsid w:val="2EBC6814"/>
    <w:rsid w:val="2EBE55A0"/>
    <w:rsid w:val="2EC03A64"/>
    <w:rsid w:val="2EDC24D0"/>
    <w:rsid w:val="2EEE2634"/>
    <w:rsid w:val="2EFE2E3E"/>
    <w:rsid w:val="2F1067E2"/>
    <w:rsid w:val="2F416D1A"/>
    <w:rsid w:val="2F4870D2"/>
    <w:rsid w:val="2F4C5EF6"/>
    <w:rsid w:val="2F4F2929"/>
    <w:rsid w:val="2F563EC5"/>
    <w:rsid w:val="2F5A23EC"/>
    <w:rsid w:val="2F671795"/>
    <w:rsid w:val="2F672A78"/>
    <w:rsid w:val="2F6E6146"/>
    <w:rsid w:val="2F6F5915"/>
    <w:rsid w:val="2F703673"/>
    <w:rsid w:val="2F9257C7"/>
    <w:rsid w:val="2F996B56"/>
    <w:rsid w:val="2FB35E69"/>
    <w:rsid w:val="2FBA3998"/>
    <w:rsid w:val="2FD065E6"/>
    <w:rsid w:val="2FD6129D"/>
    <w:rsid w:val="2FD61B58"/>
    <w:rsid w:val="2FD96870"/>
    <w:rsid w:val="2FDB2978"/>
    <w:rsid w:val="300C5292"/>
    <w:rsid w:val="300D645F"/>
    <w:rsid w:val="30142038"/>
    <w:rsid w:val="30172B13"/>
    <w:rsid w:val="30180C08"/>
    <w:rsid w:val="301B0AEE"/>
    <w:rsid w:val="301C4FC9"/>
    <w:rsid w:val="30267E2A"/>
    <w:rsid w:val="30281C88"/>
    <w:rsid w:val="302E5FF1"/>
    <w:rsid w:val="303A51A6"/>
    <w:rsid w:val="303C114F"/>
    <w:rsid w:val="30405223"/>
    <w:rsid w:val="304F03A7"/>
    <w:rsid w:val="3057755D"/>
    <w:rsid w:val="30580BC9"/>
    <w:rsid w:val="307867C3"/>
    <w:rsid w:val="307F2B5B"/>
    <w:rsid w:val="30812C6C"/>
    <w:rsid w:val="30872E52"/>
    <w:rsid w:val="30931F9D"/>
    <w:rsid w:val="309A6303"/>
    <w:rsid w:val="30A02045"/>
    <w:rsid w:val="30A92DC8"/>
    <w:rsid w:val="30AA47E6"/>
    <w:rsid w:val="30AD0A32"/>
    <w:rsid w:val="30B9329C"/>
    <w:rsid w:val="30BA5760"/>
    <w:rsid w:val="30DB59FE"/>
    <w:rsid w:val="30DF4A3C"/>
    <w:rsid w:val="30E7531B"/>
    <w:rsid w:val="30ED4308"/>
    <w:rsid w:val="30F071FD"/>
    <w:rsid w:val="30F67995"/>
    <w:rsid w:val="310821E5"/>
    <w:rsid w:val="31140D78"/>
    <w:rsid w:val="311E2ED7"/>
    <w:rsid w:val="311F1268"/>
    <w:rsid w:val="313117E1"/>
    <w:rsid w:val="313474AF"/>
    <w:rsid w:val="313C1166"/>
    <w:rsid w:val="31474250"/>
    <w:rsid w:val="31476215"/>
    <w:rsid w:val="314B1291"/>
    <w:rsid w:val="314D409C"/>
    <w:rsid w:val="31536AEE"/>
    <w:rsid w:val="315619EE"/>
    <w:rsid w:val="315A0ECB"/>
    <w:rsid w:val="315C449C"/>
    <w:rsid w:val="319677F1"/>
    <w:rsid w:val="31A644DA"/>
    <w:rsid w:val="31A866D7"/>
    <w:rsid w:val="31AD68E8"/>
    <w:rsid w:val="31B55428"/>
    <w:rsid w:val="31B82709"/>
    <w:rsid w:val="31BB4B77"/>
    <w:rsid w:val="31C0661C"/>
    <w:rsid w:val="31D05482"/>
    <w:rsid w:val="31E14A78"/>
    <w:rsid w:val="31E56C6E"/>
    <w:rsid w:val="31F61081"/>
    <w:rsid w:val="31F90568"/>
    <w:rsid w:val="31FB3AFF"/>
    <w:rsid w:val="320C697E"/>
    <w:rsid w:val="32196D96"/>
    <w:rsid w:val="321E639F"/>
    <w:rsid w:val="32270449"/>
    <w:rsid w:val="32354694"/>
    <w:rsid w:val="32387A14"/>
    <w:rsid w:val="323A633C"/>
    <w:rsid w:val="32400B34"/>
    <w:rsid w:val="325E75A0"/>
    <w:rsid w:val="32620F41"/>
    <w:rsid w:val="327A52BE"/>
    <w:rsid w:val="32807F7B"/>
    <w:rsid w:val="32857BE5"/>
    <w:rsid w:val="3287267C"/>
    <w:rsid w:val="328E04C8"/>
    <w:rsid w:val="328E5EE7"/>
    <w:rsid w:val="32944723"/>
    <w:rsid w:val="329E6876"/>
    <w:rsid w:val="32A3195E"/>
    <w:rsid w:val="32AF5542"/>
    <w:rsid w:val="32C85520"/>
    <w:rsid w:val="32C97DB6"/>
    <w:rsid w:val="32D24E66"/>
    <w:rsid w:val="32D43818"/>
    <w:rsid w:val="32F21358"/>
    <w:rsid w:val="32F522F5"/>
    <w:rsid w:val="330C2D72"/>
    <w:rsid w:val="331D35FA"/>
    <w:rsid w:val="33266E6A"/>
    <w:rsid w:val="33276347"/>
    <w:rsid w:val="332D58DD"/>
    <w:rsid w:val="333015F2"/>
    <w:rsid w:val="3339780A"/>
    <w:rsid w:val="333D3C9C"/>
    <w:rsid w:val="33412253"/>
    <w:rsid w:val="33463608"/>
    <w:rsid w:val="334B6320"/>
    <w:rsid w:val="33524773"/>
    <w:rsid w:val="3357783F"/>
    <w:rsid w:val="335E4CB8"/>
    <w:rsid w:val="335F6616"/>
    <w:rsid w:val="33631954"/>
    <w:rsid w:val="33647FFF"/>
    <w:rsid w:val="33674602"/>
    <w:rsid w:val="336A2CA3"/>
    <w:rsid w:val="3384767B"/>
    <w:rsid w:val="338968F1"/>
    <w:rsid w:val="338D004A"/>
    <w:rsid w:val="339229F2"/>
    <w:rsid w:val="339E14E4"/>
    <w:rsid w:val="33A22AE7"/>
    <w:rsid w:val="33A52B95"/>
    <w:rsid w:val="33A90AB1"/>
    <w:rsid w:val="33A94F10"/>
    <w:rsid w:val="33B40898"/>
    <w:rsid w:val="33B732BF"/>
    <w:rsid w:val="33D04B10"/>
    <w:rsid w:val="33D324AF"/>
    <w:rsid w:val="33D934D4"/>
    <w:rsid w:val="33DD1FF5"/>
    <w:rsid w:val="33DD33E4"/>
    <w:rsid w:val="33E16D1D"/>
    <w:rsid w:val="33FE2F6A"/>
    <w:rsid w:val="340329A7"/>
    <w:rsid w:val="340E07E5"/>
    <w:rsid w:val="34152E84"/>
    <w:rsid w:val="3418081E"/>
    <w:rsid w:val="341E4A15"/>
    <w:rsid w:val="342015F4"/>
    <w:rsid w:val="34235BF7"/>
    <w:rsid w:val="342C7F98"/>
    <w:rsid w:val="3430563F"/>
    <w:rsid w:val="34325EE6"/>
    <w:rsid w:val="34397292"/>
    <w:rsid w:val="344A3FE4"/>
    <w:rsid w:val="344A55A3"/>
    <w:rsid w:val="344A738E"/>
    <w:rsid w:val="34515C51"/>
    <w:rsid w:val="346516FC"/>
    <w:rsid w:val="34716658"/>
    <w:rsid w:val="349551EC"/>
    <w:rsid w:val="349B35CA"/>
    <w:rsid w:val="34A14FD7"/>
    <w:rsid w:val="34A40633"/>
    <w:rsid w:val="34B94224"/>
    <w:rsid w:val="34C22379"/>
    <w:rsid w:val="34C401D1"/>
    <w:rsid w:val="34E2171E"/>
    <w:rsid w:val="34F51C09"/>
    <w:rsid w:val="34F56F38"/>
    <w:rsid w:val="34FD69B7"/>
    <w:rsid w:val="35125E28"/>
    <w:rsid w:val="35147DA3"/>
    <w:rsid w:val="351D3D85"/>
    <w:rsid w:val="35261D74"/>
    <w:rsid w:val="35263D5C"/>
    <w:rsid w:val="35345634"/>
    <w:rsid w:val="353A6855"/>
    <w:rsid w:val="35410C3E"/>
    <w:rsid w:val="3543364A"/>
    <w:rsid w:val="35482E7D"/>
    <w:rsid w:val="354C0006"/>
    <w:rsid w:val="35500781"/>
    <w:rsid w:val="35547484"/>
    <w:rsid w:val="35560D77"/>
    <w:rsid w:val="3556529F"/>
    <w:rsid w:val="355F04BA"/>
    <w:rsid w:val="356077F4"/>
    <w:rsid w:val="35637289"/>
    <w:rsid w:val="356E0489"/>
    <w:rsid w:val="357C6CFE"/>
    <w:rsid w:val="357D4E52"/>
    <w:rsid w:val="35874382"/>
    <w:rsid w:val="358A110D"/>
    <w:rsid w:val="358C5FA8"/>
    <w:rsid w:val="358E5CB8"/>
    <w:rsid w:val="359027A9"/>
    <w:rsid w:val="35941D2F"/>
    <w:rsid w:val="359A61C8"/>
    <w:rsid w:val="359C52FB"/>
    <w:rsid w:val="35AD3120"/>
    <w:rsid w:val="35AE7CBF"/>
    <w:rsid w:val="35B26764"/>
    <w:rsid w:val="35B35C24"/>
    <w:rsid w:val="35C15DF1"/>
    <w:rsid w:val="35C37D59"/>
    <w:rsid w:val="35CF5580"/>
    <w:rsid w:val="35D425F5"/>
    <w:rsid w:val="35D623B0"/>
    <w:rsid w:val="35DF3475"/>
    <w:rsid w:val="35E0460D"/>
    <w:rsid w:val="36074A7F"/>
    <w:rsid w:val="3608466B"/>
    <w:rsid w:val="36122778"/>
    <w:rsid w:val="36306BA1"/>
    <w:rsid w:val="36372CF3"/>
    <w:rsid w:val="36393A2D"/>
    <w:rsid w:val="363E4169"/>
    <w:rsid w:val="36444BD7"/>
    <w:rsid w:val="3647081A"/>
    <w:rsid w:val="364956E1"/>
    <w:rsid w:val="36530EC7"/>
    <w:rsid w:val="3658148C"/>
    <w:rsid w:val="36594CC2"/>
    <w:rsid w:val="367367D1"/>
    <w:rsid w:val="368C4EEC"/>
    <w:rsid w:val="368C611D"/>
    <w:rsid w:val="36923549"/>
    <w:rsid w:val="36AB2362"/>
    <w:rsid w:val="36B62BFC"/>
    <w:rsid w:val="36B66FE3"/>
    <w:rsid w:val="36B75FBF"/>
    <w:rsid w:val="36BD0C45"/>
    <w:rsid w:val="36C76350"/>
    <w:rsid w:val="36E6239D"/>
    <w:rsid w:val="36E739D0"/>
    <w:rsid w:val="37023232"/>
    <w:rsid w:val="370302AB"/>
    <w:rsid w:val="37031DE8"/>
    <w:rsid w:val="37070849"/>
    <w:rsid w:val="370A4006"/>
    <w:rsid w:val="37297C22"/>
    <w:rsid w:val="373B46C5"/>
    <w:rsid w:val="373E67CE"/>
    <w:rsid w:val="37407068"/>
    <w:rsid w:val="3753021A"/>
    <w:rsid w:val="3755259F"/>
    <w:rsid w:val="375C4869"/>
    <w:rsid w:val="37660D5D"/>
    <w:rsid w:val="37925BDC"/>
    <w:rsid w:val="37947BE2"/>
    <w:rsid w:val="37AC5C76"/>
    <w:rsid w:val="37B00EE0"/>
    <w:rsid w:val="37B0160F"/>
    <w:rsid w:val="37B036F8"/>
    <w:rsid w:val="37B92C76"/>
    <w:rsid w:val="37D34C95"/>
    <w:rsid w:val="37D50947"/>
    <w:rsid w:val="37DB48B2"/>
    <w:rsid w:val="37E00298"/>
    <w:rsid w:val="37E67C5B"/>
    <w:rsid w:val="37E95E81"/>
    <w:rsid w:val="37EE1C0F"/>
    <w:rsid w:val="37EF6FD6"/>
    <w:rsid w:val="37F76B0F"/>
    <w:rsid w:val="37FB3D1F"/>
    <w:rsid w:val="37FB65FF"/>
    <w:rsid w:val="38022BDC"/>
    <w:rsid w:val="380B154C"/>
    <w:rsid w:val="38211E89"/>
    <w:rsid w:val="382D067D"/>
    <w:rsid w:val="382D33CC"/>
    <w:rsid w:val="38385E77"/>
    <w:rsid w:val="383D6139"/>
    <w:rsid w:val="38544B00"/>
    <w:rsid w:val="385F2C42"/>
    <w:rsid w:val="38600A43"/>
    <w:rsid w:val="3864669A"/>
    <w:rsid w:val="387737AC"/>
    <w:rsid w:val="38795776"/>
    <w:rsid w:val="389223B9"/>
    <w:rsid w:val="3897575E"/>
    <w:rsid w:val="38A30170"/>
    <w:rsid w:val="38A56EEC"/>
    <w:rsid w:val="38B302F9"/>
    <w:rsid w:val="38C33441"/>
    <w:rsid w:val="38CB1737"/>
    <w:rsid w:val="38CF6020"/>
    <w:rsid w:val="38D909BB"/>
    <w:rsid w:val="38E0394A"/>
    <w:rsid w:val="38E075A3"/>
    <w:rsid w:val="38E50417"/>
    <w:rsid w:val="38E61E33"/>
    <w:rsid w:val="38E86458"/>
    <w:rsid w:val="38EC0FCF"/>
    <w:rsid w:val="38EE2BC8"/>
    <w:rsid w:val="38EF0D6B"/>
    <w:rsid w:val="38EF4097"/>
    <w:rsid w:val="38F12CD3"/>
    <w:rsid w:val="38F94775"/>
    <w:rsid w:val="38FD236B"/>
    <w:rsid w:val="390019F4"/>
    <w:rsid w:val="3903133D"/>
    <w:rsid w:val="39043D83"/>
    <w:rsid w:val="39086E57"/>
    <w:rsid w:val="39087F53"/>
    <w:rsid w:val="391A56D5"/>
    <w:rsid w:val="39247FAD"/>
    <w:rsid w:val="39277304"/>
    <w:rsid w:val="392971ED"/>
    <w:rsid w:val="39325651"/>
    <w:rsid w:val="394144E6"/>
    <w:rsid w:val="39472906"/>
    <w:rsid w:val="395156DD"/>
    <w:rsid w:val="39565AB7"/>
    <w:rsid w:val="39593579"/>
    <w:rsid w:val="39593B7D"/>
    <w:rsid w:val="395A02E2"/>
    <w:rsid w:val="395B38FD"/>
    <w:rsid w:val="395D7E24"/>
    <w:rsid w:val="39632898"/>
    <w:rsid w:val="396B1163"/>
    <w:rsid w:val="396B1563"/>
    <w:rsid w:val="396B787A"/>
    <w:rsid w:val="396F4EB1"/>
    <w:rsid w:val="39870A13"/>
    <w:rsid w:val="398A07E0"/>
    <w:rsid w:val="398C0676"/>
    <w:rsid w:val="39902180"/>
    <w:rsid w:val="39952DEB"/>
    <w:rsid w:val="39A419E9"/>
    <w:rsid w:val="39AB5BEC"/>
    <w:rsid w:val="39CA1034"/>
    <w:rsid w:val="39E07928"/>
    <w:rsid w:val="39E135D3"/>
    <w:rsid w:val="39E42CEF"/>
    <w:rsid w:val="39FB00ED"/>
    <w:rsid w:val="3A161F3E"/>
    <w:rsid w:val="3A306308"/>
    <w:rsid w:val="3A436C85"/>
    <w:rsid w:val="3A510587"/>
    <w:rsid w:val="3A53322C"/>
    <w:rsid w:val="3A626677"/>
    <w:rsid w:val="3A872856"/>
    <w:rsid w:val="3AAC6630"/>
    <w:rsid w:val="3AB66260"/>
    <w:rsid w:val="3ACF78CF"/>
    <w:rsid w:val="3ADB14EF"/>
    <w:rsid w:val="3AEA6795"/>
    <w:rsid w:val="3AF630AE"/>
    <w:rsid w:val="3AFB06C4"/>
    <w:rsid w:val="3AFF3B1C"/>
    <w:rsid w:val="3B05798E"/>
    <w:rsid w:val="3B074F79"/>
    <w:rsid w:val="3B164422"/>
    <w:rsid w:val="3B1C7055"/>
    <w:rsid w:val="3B225C51"/>
    <w:rsid w:val="3B2445D0"/>
    <w:rsid w:val="3B261CFB"/>
    <w:rsid w:val="3B293484"/>
    <w:rsid w:val="3B2D1219"/>
    <w:rsid w:val="3B341B60"/>
    <w:rsid w:val="3B373F25"/>
    <w:rsid w:val="3B3763D1"/>
    <w:rsid w:val="3B423F2E"/>
    <w:rsid w:val="3B432591"/>
    <w:rsid w:val="3B437B01"/>
    <w:rsid w:val="3B450C3B"/>
    <w:rsid w:val="3B4B4B5C"/>
    <w:rsid w:val="3B4D40D3"/>
    <w:rsid w:val="3B561E38"/>
    <w:rsid w:val="3B5D0BD1"/>
    <w:rsid w:val="3B5D492E"/>
    <w:rsid w:val="3B5F5BE1"/>
    <w:rsid w:val="3B6B0D0D"/>
    <w:rsid w:val="3B7010B2"/>
    <w:rsid w:val="3B7600C6"/>
    <w:rsid w:val="3B817D04"/>
    <w:rsid w:val="3B833BAC"/>
    <w:rsid w:val="3B9E2469"/>
    <w:rsid w:val="3BA16FA0"/>
    <w:rsid w:val="3BA83F70"/>
    <w:rsid w:val="3BB008B6"/>
    <w:rsid w:val="3BB62D7B"/>
    <w:rsid w:val="3BC9162C"/>
    <w:rsid w:val="3BDA49CF"/>
    <w:rsid w:val="3BDD601C"/>
    <w:rsid w:val="3BE41159"/>
    <w:rsid w:val="3BED34DB"/>
    <w:rsid w:val="3BED6749"/>
    <w:rsid w:val="3BF43FE2"/>
    <w:rsid w:val="3C1B0E77"/>
    <w:rsid w:val="3C1C4D96"/>
    <w:rsid w:val="3C2123AD"/>
    <w:rsid w:val="3C213987"/>
    <w:rsid w:val="3C277358"/>
    <w:rsid w:val="3C2F6E1E"/>
    <w:rsid w:val="3C3A3EEF"/>
    <w:rsid w:val="3C4F64BA"/>
    <w:rsid w:val="3C5D2BB8"/>
    <w:rsid w:val="3C685EE8"/>
    <w:rsid w:val="3C71319F"/>
    <w:rsid w:val="3C8353FA"/>
    <w:rsid w:val="3C850777"/>
    <w:rsid w:val="3C8C4007"/>
    <w:rsid w:val="3CA14B38"/>
    <w:rsid w:val="3CA66550"/>
    <w:rsid w:val="3CAB0971"/>
    <w:rsid w:val="3CAD2B7D"/>
    <w:rsid w:val="3CBE62EC"/>
    <w:rsid w:val="3CC151D5"/>
    <w:rsid w:val="3CC55653"/>
    <w:rsid w:val="3CD242ED"/>
    <w:rsid w:val="3CD32AA5"/>
    <w:rsid w:val="3CD92F92"/>
    <w:rsid w:val="3CDA245A"/>
    <w:rsid w:val="3CDB2409"/>
    <w:rsid w:val="3CE9058C"/>
    <w:rsid w:val="3D0B5AA3"/>
    <w:rsid w:val="3D155716"/>
    <w:rsid w:val="3D1D40E1"/>
    <w:rsid w:val="3D1E06B7"/>
    <w:rsid w:val="3D2730BE"/>
    <w:rsid w:val="3D2748D8"/>
    <w:rsid w:val="3D2D6B2F"/>
    <w:rsid w:val="3D363CAC"/>
    <w:rsid w:val="3D374EC7"/>
    <w:rsid w:val="3D6267D9"/>
    <w:rsid w:val="3D642AD9"/>
    <w:rsid w:val="3D69605A"/>
    <w:rsid w:val="3D7B518F"/>
    <w:rsid w:val="3D8628AB"/>
    <w:rsid w:val="3D874491"/>
    <w:rsid w:val="3D892C82"/>
    <w:rsid w:val="3D9231E6"/>
    <w:rsid w:val="3DA94A83"/>
    <w:rsid w:val="3DAA277C"/>
    <w:rsid w:val="3DB122A7"/>
    <w:rsid w:val="3DCD059E"/>
    <w:rsid w:val="3DD47255"/>
    <w:rsid w:val="3DD51301"/>
    <w:rsid w:val="3DD65501"/>
    <w:rsid w:val="3DD84CED"/>
    <w:rsid w:val="3DDB3EF2"/>
    <w:rsid w:val="3DE4202B"/>
    <w:rsid w:val="3DE43DA3"/>
    <w:rsid w:val="3DE763FA"/>
    <w:rsid w:val="3DF338D5"/>
    <w:rsid w:val="3DF53348"/>
    <w:rsid w:val="3DFC2EAC"/>
    <w:rsid w:val="3E09547A"/>
    <w:rsid w:val="3E1D0F36"/>
    <w:rsid w:val="3E2D394E"/>
    <w:rsid w:val="3E306CEA"/>
    <w:rsid w:val="3E3B4D4D"/>
    <w:rsid w:val="3E3C69C2"/>
    <w:rsid w:val="3E3F67A6"/>
    <w:rsid w:val="3E4266F9"/>
    <w:rsid w:val="3E4D35B0"/>
    <w:rsid w:val="3E591340"/>
    <w:rsid w:val="3E685DB8"/>
    <w:rsid w:val="3E6A360B"/>
    <w:rsid w:val="3E703293"/>
    <w:rsid w:val="3E722D5B"/>
    <w:rsid w:val="3E730D7F"/>
    <w:rsid w:val="3E7B0AAC"/>
    <w:rsid w:val="3E872C40"/>
    <w:rsid w:val="3E8A1E51"/>
    <w:rsid w:val="3E931D3D"/>
    <w:rsid w:val="3E952BDE"/>
    <w:rsid w:val="3EB07A18"/>
    <w:rsid w:val="3EBD52CB"/>
    <w:rsid w:val="3EC55271"/>
    <w:rsid w:val="3EC84D62"/>
    <w:rsid w:val="3ECC77BE"/>
    <w:rsid w:val="3ECE0AC5"/>
    <w:rsid w:val="3ED50BA6"/>
    <w:rsid w:val="3ED74FA5"/>
    <w:rsid w:val="3ED843A1"/>
    <w:rsid w:val="3EDA0523"/>
    <w:rsid w:val="3EDB7EDA"/>
    <w:rsid w:val="3EE37DED"/>
    <w:rsid w:val="3EED75DD"/>
    <w:rsid w:val="3EF528FC"/>
    <w:rsid w:val="3EF60E69"/>
    <w:rsid w:val="3F1B1335"/>
    <w:rsid w:val="3F1B58F7"/>
    <w:rsid w:val="3F1E247A"/>
    <w:rsid w:val="3F3611B8"/>
    <w:rsid w:val="3F374267"/>
    <w:rsid w:val="3F3754B7"/>
    <w:rsid w:val="3F3A009B"/>
    <w:rsid w:val="3F3B35E4"/>
    <w:rsid w:val="3F3B45C0"/>
    <w:rsid w:val="3F3E01C1"/>
    <w:rsid w:val="3F632CDC"/>
    <w:rsid w:val="3F7D7880"/>
    <w:rsid w:val="3F8A0269"/>
    <w:rsid w:val="3F8C3FE1"/>
    <w:rsid w:val="3F9464C9"/>
    <w:rsid w:val="3FB11F28"/>
    <w:rsid w:val="3FB67BCF"/>
    <w:rsid w:val="3FD24CA6"/>
    <w:rsid w:val="3FD672AB"/>
    <w:rsid w:val="3FD6794C"/>
    <w:rsid w:val="3FDB0AC5"/>
    <w:rsid w:val="3FE55283"/>
    <w:rsid w:val="3FE633DD"/>
    <w:rsid w:val="3FEE6DB3"/>
    <w:rsid w:val="3FF42CA2"/>
    <w:rsid w:val="400378E3"/>
    <w:rsid w:val="4010076E"/>
    <w:rsid w:val="401E4DED"/>
    <w:rsid w:val="40290372"/>
    <w:rsid w:val="40473F2D"/>
    <w:rsid w:val="404D2374"/>
    <w:rsid w:val="405E706A"/>
    <w:rsid w:val="405F34A4"/>
    <w:rsid w:val="40602D9E"/>
    <w:rsid w:val="406269EA"/>
    <w:rsid w:val="40686BCD"/>
    <w:rsid w:val="407262E9"/>
    <w:rsid w:val="407A6407"/>
    <w:rsid w:val="409749EB"/>
    <w:rsid w:val="409B66E1"/>
    <w:rsid w:val="40A13ABC"/>
    <w:rsid w:val="40A65259"/>
    <w:rsid w:val="40AC6F59"/>
    <w:rsid w:val="40B377E3"/>
    <w:rsid w:val="40BB2954"/>
    <w:rsid w:val="40BF2194"/>
    <w:rsid w:val="40D20119"/>
    <w:rsid w:val="40E26E28"/>
    <w:rsid w:val="40EA5463"/>
    <w:rsid w:val="40EB2D83"/>
    <w:rsid w:val="40FD0DC4"/>
    <w:rsid w:val="40FE0A00"/>
    <w:rsid w:val="4107423D"/>
    <w:rsid w:val="41144D3D"/>
    <w:rsid w:val="41174FE2"/>
    <w:rsid w:val="411D6B6A"/>
    <w:rsid w:val="412B009C"/>
    <w:rsid w:val="412B4D0F"/>
    <w:rsid w:val="41514149"/>
    <w:rsid w:val="41560EB5"/>
    <w:rsid w:val="41581D4D"/>
    <w:rsid w:val="417A165B"/>
    <w:rsid w:val="41810EAE"/>
    <w:rsid w:val="41830994"/>
    <w:rsid w:val="418732F8"/>
    <w:rsid w:val="41886A2A"/>
    <w:rsid w:val="419004AC"/>
    <w:rsid w:val="41A251B4"/>
    <w:rsid w:val="41B45A71"/>
    <w:rsid w:val="41D47D4A"/>
    <w:rsid w:val="41DA54D8"/>
    <w:rsid w:val="41E133BC"/>
    <w:rsid w:val="41E508DD"/>
    <w:rsid w:val="41E974C9"/>
    <w:rsid w:val="41EC07A0"/>
    <w:rsid w:val="41F83457"/>
    <w:rsid w:val="41FF4F3E"/>
    <w:rsid w:val="42004140"/>
    <w:rsid w:val="4200449D"/>
    <w:rsid w:val="420B5C33"/>
    <w:rsid w:val="420F28A1"/>
    <w:rsid w:val="421901A8"/>
    <w:rsid w:val="421E19F5"/>
    <w:rsid w:val="421F738E"/>
    <w:rsid w:val="42293D69"/>
    <w:rsid w:val="42350550"/>
    <w:rsid w:val="4235270E"/>
    <w:rsid w:val="42354983"/>
    <w:rsid w:val="423A3BCC"/>
    <w:rsid w:val="42406CD4"/>
    <w:rsid w:val="42412D8F"/>
    <w:rsid w:val="424728FC"/>
    <w:rsid w:val="424A5FEF"/>
    <w:rsid w:val="424B7699"/>
    <w:rsid w:val="424E57D2"/>
    <w:rsid w:val="425D1C65"/>
    <w:rsid w:val="42646EFA"/>
    <w:rsid w:val="426A1ACC"/>
    <w:rsid w:val="4295425B"/>
    <w:rsid w:val="429C39D4"/>
    <w:rsid w:val="42A05581"/>
    <w:rsid w:val="42A22846"/>
    <w:rsid w:val="42A339F5"/>
    <w:rsid w:val="42A462FE"/>
    <w:rsid w:val="42A67168"/>
    <w:rsid w:val="42B26C49"/>
    <w:rsid w:val="42BE0115"/>
    <w:rsid w:val="42C76941"/>
    <w:rsid w:val="42CC235B"/>
    <w:rsid w:val="42D86797"/>
    <w:rsid w:val="42DC08E3"/>
    <w:rsid w:val="42E67AD8"/>
    <w:rsid w:val="430A2213"/>
    <w:rsid w:val="431E03E8"/>
    <w:rsid w:val="43251129"/>
    <w:rsid w:val="4332545A"/>
    <w:rsid w:val="43330AF8"/>
    <w:rsid w:val="43374E23"/>
    <w:rsid w:val="433A6FE6"/>
    <w:rsid w:val="433C3E44"/>
    <w:rsid w:val="434150E2"/>
    <w:rsid w:val="43480868"/>
    <w:rsid w:val="4350713C"/>
    <w:rsid w:val="435D32FF"/>
    <w:rsid w:val="43601A0D"/>
    <w:rsid w:val="436653E0"/>
    <w:rsid w:val="43880F63"/>
    <w:rsid w:val="4388348E"/>
    <w:rsid w:val="4398072C"/>
    <w:rsid w:val="43A81017"/>
    <w:rsid w:val="43A9099C"/>
    <w:rsid w:val="43AC6A00"/>
    <w:rsid w:val="43AE7E75"/>
    <w:rsid w:val="43B57504"/>
    <w:rsid w:val="43BC292F"/>
    <w:rsid w:val="43BE438E"/>
    <w:rsid w:val="43C261C2"/>
    <w:rsid w:val="43C4431A"/>
    <w:rsid w:val="43D42A1D"/>
    <w:rsid w:val="43D45F57"/>
    <w:rsid w:val="43D46454"/>
    <w:rsid w:val="43D85A47"/>
    <w:rsid w:val="43D96E38"/>
    <w:rsid w:val="43DD4F72"/>
    <w:rsid w:val="43E70213"/>
    <w:rsid w:val="43E85D96"/>
    <w:rsid w:val="43E95B85"/>
    <w:rsid w:val="440700DA"/>
    <w:rsid w:val="44223B4D"/>
    <w:rsid w:val="44360467"/>
    <w:rsid w:val="443D0569"/>
    <w:rsid w:val="444322DC"/>
    <w:rsid w:val="444E00B2"/>
    <w:rsid w:val="4450512E"/>
    <w:rsid w:val="4456117C"/>
    <w:rsid w:val="44573060"/>
    <w:rsid w:val="445826E4"/>
    <w:rsid w:val="446B69A0"/>
    <w:rsid w:val="44766857"/>
    <w:rsid w:val="44774020"/>
    <w:rsid w:val="447A4BA4"/>
    <w:rsid w:val="44867196"/>
    <w:rsid w:val="448B65B0"/>
    <w:rsid w:val="449C0364"/>
    <w:rsid w:val="449E6F5C"/>
    <w:rsid w:val="449F3DBC"/>
    <w:rsid w:val="44B53742"/>
    <w:rsid w:val="44B951CC"/>
    <w:rsid w:val="44BD7696"/>
    <w:rsid w:val="44C63AF1"/>
    <w:rsid w:val="44CD14E0"/>
    <w:rsid w:val="44DE7ED5"/>
    <w:rsid w:val="44F16FFC"/>
    <w:rsid w:val="44F20B0B"/>
    <w:rsid w:val="45140684"/>
    <w:rsid w:val="451E392D"/>
    <w:rsid w:val="452751D7"/>
    <w:rsid w:val="45285DF8"/>
    <w:rsid w:val="452E5F4C"/>
    <w:rsid w:val="45337989"/>
    <w:rsid w:val="45342E44"/>
    <w:rsid w:val="453F0EE1"/>
    <w:rsid w:val="453F7F9F"/>
    <w:rsid w:val="45463FA1"/>
    <w:rsid w:val="455E6B9E"/>
    <w:rsid w:val="45612018"/>
    <w:rsid w:val="45642AAA"/>
    <w:rsid w:val="4566254C"/>
    <w:rsid w:val="456678E2"/>
    <w:rsid w:val="456F0953"/>
    <w:rsid w:val="45785383"/>
    <w:rsid w:val="45796DB6"/>
    <w:rsid w:val="458946E9"/>
    <w:rsid w:val="458F2414"/>
    <w:rsid w:val="459D33F5"/>
    <w:rsid w:val="45A47C0E"/>
    <w:rsid w:val="45AE2957"/>
    <w:rsid w:val="45B15C6B"/>
    <w:rsid w:val="45B81D71"/>
    <w:rsid w:val="45B864AC"/>
    <w:rsid w:val="45BA1311"/>
    <w:rsid w:val="45BA5516"/>
    <w:rsid w:val="45BC54BB"/>
    <w:rsid w:val="45CB3AD6"/>
    <w:rsid w:val="45CE19EC"/>
    <w:rsid w:val="45CF3FDC"/>
    <w:rsid w:val="45D843DB"/>
    <w:rsid w:val="45E613B2"/>
    <w:rsid w:val="45E74FF8"/>
    <w:rsid w:val="45EC339E"/>
    <w:rsid w:val="45EC57D9"/>
    <w:rsid w:val="45EF1D11"/>
    <w:rsid w:val="45F613F1"/>
    <w:rsid w:val="460056D0"/>
    <w:rsid w:val="46014F37"/>
    <w:rsid w:val="46015927"/>
    <w:rsid w:val="4604123E"/>
    <w:rsid w:val="46081DC4"/>
    <w:rsid w:val="46136241"/>
    <w:rsid w:val="461860E5"/>
    <w:rsid w:val="461A1530"/>
    <w:rsid w:val="461C2040"/>
    <w:rsid w:val="461F292C"/>
    <w:rsid w:val="462B0B6F"/>
    <w:rsid w:val="463E1404"/>
    <w:rsid w:val="46401DDD"/>
    <w:rsid w:val="46434B10"/>
    <w:rsid w:val="464C0952"/>
    <w:rsid w:val="465044BF"/>
    <w:rsid w:val="46577FD6"/>
    <w:rsid w:val="46672423"/>
    <w:rsid w:val="466A1A3E"/>
    <w:rsid w:val="4671180A"/>
    <w:rsid w:val="46790B08"/>
    <w:rsid w:val="469320F9"/>
    <w:rsid w:val="469D35E2"/>
    <w:rsid w:val="46B67B95"/>
    <w:rsid w:val="46C221CF"/>
    <w:rsid w:val="46C422B2"/>
    <w:rsid w:val="46CC404C"/>
    <w:rsid w:val="46CC79DD"/>
    <w:rsid w:val="46D2630E"/>
    <w:rsid w:val="46D955A7"/>
    <w:rsid w:val="46EC2411"/>
    <w:rsid w:val="46EE732F"/>
    <w:rsid w:val="46EF19F8"/>
    <w:rsid w:val="47064679"/>
    <w:rsid w:val="470F061D"/>
    <w:rsid w:val="47104D05"/>
    <w:rsid w:val="47133957"/>
    <w:rsid w:val="471D4779"/>
    <w:rsid w:val="472870EF"/>
    <w:rsid w:val="4731082B"/>
    <w:rsid w:val="473359FE"/>
    <w:rsid w:val="473F3C1A"/>
    <w:rsid w:val="47413A78"/>
    <w:rsid w:val="4745079A"/>
    <w:rsid w:val="474F08FD"/>
    <w:rsid w:val="47615D53"/>
    <w:rsid w:val="47685E05"/>
    <w:rsid w:val="476D25D3"/>
    <w:rsid w:val="476E0DE5"/>
    <w:rsid w:val="4771449F"/>
    <w:rsid w:val="47723EC3"/>
    <w:rsid w:val="477E0A38"/>
    <w:rsid w:val="47814D2E"/>
    <w:rsid w:val="47904FFD"/>
    <w:rsid w:val="4796282B"/>
    <w:rsid w:val="47A07E0C"/>
    <w:rsid w:val="47AA594C"/>
    <w:rsid w:val="47B55932"/>
    <w:rsid w:val="47B657BC"/>
    <w:rsid w:val="47BE6D02"/>
    <w:rsid w:val="47BF7F9B"/>
    <w:rsid w:val="47C154FB"/>
    <w:rsid w:val="47D115FE"/>
    <w:rsid w:val="47D26C51"/>
    <w:rsid w:val="47D36A70"/>
    <w:rsid w:val="47D94D68"/>
    <w:rsid w:val="47F170D7"/>
    <w:rsid w:val="47F379D2"/>
    <w:rsid w:val="47FD20E7"/>
    <w:rsid w:val="47FE3E2D"/>
    <w:rsid w:val="47FE5C9E"/>
    <w:rsid w:val="48160602"/>
    <w:rsid w:val="481D611E"/>
    <w:rsid w:val="483229E9"/>
    <w:rsid w:val="48376AB4"/>
    <w:rsid w:val="48383EE4"/>
    <w:rsid w:val="4839282C"/>
    <w:rsid w:val="483A13EB"/>
    <w:rsid w:val="484168D8"/>
    <w:rsid w:val="484300CA"/>
    <w:rsid w:val="484B775B"/>
    <w:rsid w:val="484F43F2"/>
    <w:rsid w:val="48657827"/>
    <w:rsid w:val="486F7B9A"/>
    <w:rsid w:val="4870272E"/>
    <w:rsid w:val="487727CE"/>
    <w:rsid w:val="487D3447"/>
    <w:rsid w:val="48AC6150"/>
    <w:rsid w:val="48AE0D6A"/>
    <w:rsid w:val="48C03B3E"/>
    <w:rsid w:val="48CB3A34"/>
    <w:rsid w:val="48D672DE"/>
    <w:rsid w:val="48E14425"/>
    <w:rsid w:val="48E679FB"/>
    <w:rsid w:val="490612E6"/>
    <w:rsid w:val="490746D8"/>
    <w:rsid w:val="490E7E9A"/>
    <w:rsid w:val="490F042C"/>
    <w:rsid w:val="4913723D"/>
    <w:rsid w:val="49155F58"/>
    <w:rsid w:val="49197404"/>
    <w:rsid w:val="491D02E3"/>
    <w:rsid w:val="491F7C74"/>
    <w:rsid w:val="49354DE6"/>
    <w:rsid w:val="49422DE5"/>
    <w:rsid w:val="494B7F7F"/>
    <w:rsid w:val="4961231C"/>
    <w:rsid w:val="496E4757"/>
    <w:rsid w:val="496E59E6"/>
    <w:rsid w:val="49726DB6"/>
    <w:rsid w:val="499018F8"/>
    <w:rsid w:val="49A17677"/>
    <w:rsid w:val="49AE1F90"/>
    <w:rsid w:val="49AF146E"/>
    <w:rsid w:val="49AF58F5"/>
    <w:rsid w:val="49B712A8"/>
    <w:rsid w:val="49BE787A"/>
    <w:rsid w:val="49C57580"/>
    <w:rsid w:val="49D603FE"/>
    <w:rsid w:val="49DC7715"/>
    <w:rsid w:val="49DF5F6B"/>
    <w:rsid w:val="49E3545C"/>
    <w:rsid w:val="49F1022B"/>
    <w:rsid w:val="49F13037"/>
    <w:rsid w:val="49F7474D"/>
    <w:rsid w:val="49F86902"/>
    <w:rsid w:val="4A023139"/>
    <w:rsid w:val="4A0774AD"/>
    <w:rsid w:val="4A1B6691"/>
    <w:rsid w:val="4A20088A"/>
    <w:rsid w:val="4A213B61"/>
    <w:rsid w:val="4A345DCE"/>
    <w:rsid w:val="4A376C20"/>
    <w:rsid w:val="4A3C6604"/>
    <w:rsid w:val="4A4E68DE"/>
    <w:rsid w:val="4A57452F"/>
    <w:rsid w:val="4A657908"/>
    <w:rsid w:val="4A6D213B"/>
    <w:rsid w:val="4A76406C"/>
    <w:rsid w:val="4A7804CB"/>
    <w:rsid w:val="4A783AE0"/>
    <w:rsid w:val="4A7A4FD6"/>
    <w:rsid w:val="4A7B537E"/>
    <w:rsid w:val="4A7B576F"/>
    <w:rsid w:val="4AA26CE5"/>
    <w:rsid w:val="4AC33BE0"/>
    <w:rsid w:val="4AC434C7"/>
    <w:rsid w:val="4ACF4389"/>
    <w:rsid w:val="4ADB3A5F"/>
    <w:rsid w:val="4AF561A9"/>
    <w:rsid w:val="4AF61D07"/>
    <w:rsid w:val="4AF809EC"/>
    <w:rsid w:val="4B070963"/>
    <w:rsid w:val="4B071EB7"/>
    <w:rsid w:val="4B0A5379"/>
    <w:rsid w:val="4B0A6E6E"/>
    <w:rsid w:val="4B1B46A0"/>
    <w:rsid w:val="4B251DF6"/>
    <w:rsid w:val="4B257098"/>
    <w:rsid w:val="4B2B2900"/>
    <w:rsid w:val="4B357F1F"/>
    <w:rsid w:val="4B3902D7"/>
    <w:rsid w:val="4B4C0AD0"/>
    <w:rsid w:val="4B5615F0"/>
    <w:rsid w:val="4B5F5242"/>
    <w:rsid w:val="4B71706D"/>
    <w:rsid w:val="4B7D1D34"/>
    <w:rsid w:val="4B9A1834"/>
    <w:rsid w:val="4BAA15A0"/>
    <w:rsid w:val="4BAB3EC5"/>
    <w:rsid w:val="4BAF1783"/>
    <w:rsid w:val="4BB302FE"/>
    <w:rsid w:val="4BD56526"/>
    <w:rsid w:val="4BDA1D7E"/>
    <w:rsid w:val="4BE4557B"/>
    <w:rsid w:val="4BE551A5"/>
    <w:rsid w:val="4BF278C2"/>
    <w:rsid w:val="4C063B89"/>
    <w:rsid w:val="4C147838"/>
    <w:rsid w:val="4C17004E"/>
    <w:rsid w:val="4C1F6A9B"/>
    <w:rsid w:val="4C240BE6"/>
    <w:rsid w:val="4C241C6E"/>
    <w:rsid w:val="4C2E4BDE"/>
    <w:rsid w:val="4C331A5B"/>
    <w:rsid w:val="4C4A0649"/>
    <w:rsid w:val="4C4C3BAD"/>
    <w:rsid w:val="4C536B3D"/>
    <w:rsid w:val="4C572807"/>
    <w:rsid w:val="4C5F40FE"/>
    <w:rsid w:val="4C6002B3"/>
    <w:rsid w:val="4C625440"/>
    <w:rsid w:val="4C69645A"/>
    <w:rsid w:val="4C734F19"/>
    <w:rsid w:val="4C7C1505"/>
    <w:rsid w:val="4C7E5ECA"/>
    <w:rsid w:val="4C805B94"/>
    <w:rsid w:val="4C876AA5"/>
    <w:rsid w:val="4C883527"/>
    <w:rsid w:val="4C9142B5"/>
    <w:rsid w:val="4C96497D"/>
    <w:rsid w:val="4CA35649"/>
    <w:rsid w:val="4CA62203"/>
    <w:rsid w:val="4CAC1453"/>
    <w:rsid w:val="4CAD0A80"/>
    <w:rsid w:val="4CB05785"/>
    <w:rsid w:val="4CB66932"/>
    <w:rsid w:val="4CBE450A"/>
    <w:rsid w:val="4CD407C1"/>
    <w:rsid w:val="4CE101D9"/>
    <w:rsid w:val="4CE74F4D"/>
    <w:rsid w:val="4CEC60BF"/>
    <w:rsid w:val="4D034450"/>
    <w:rsid w:val="4D034DBC"/>
    <w:rsid w:val="4D060F4E"/>
    <w:rsid w:val="4D061751"/>
    <w:rsid w:val="4D094369"/>
    <w:rsid w:val="4D0E00FB"/>
    <w:rsid w:val="4D102C9A"/>
    <w:rsid w:val="4D176606"/>
    <w:rsid w:val="4D2463A9"/>
    <w:rsid w:val="4D354E86"/>
    <w:rsid w:val="4D3D691B"/>
    <w:rsid w:val="4D44414D"/>
    <w:rsid w:val="4D4952BF"/>
    <w:rsid w:val="4D581FDC"/>
    <w:rsid w:val="4D62111E"/>
    <w:rsid w:val="4D692A80"/>
    <w:rsid w:val="4D751E55"/>
    <w:rsid w:val="4D7553DA"/>
    <w:rsid w:val="4D783DF7"/>
    <w:rsid w:val="4D793864"/>
    <w:rsid w:val="4D7D31BB"/>
    <w:rsid w:val="4D7F65E7"/>
    <w:rsid w:val="4D88728F"/>
    <w:rsid w:val="4D981DA3"/>
    <w:rsid w:val="4D9A5B1B"/>
    <w:rsid w:val="4DA3708C"/>
    <w:rsid w:val="4DA44B73"/>
    <w:rsid w:val="4DAF0050"/>
    <w:rsid w:val="4DB56F07"/>
    <w:rsid w:val="4DB80B4B"/>
    <w:rsid w:val="4DBF282E"/>
    <w:rsid w:val="4DC312C0"/>
    <w:rsid w:val="4DD20060"/>
    <w:rsid w:val="4DDE5867"/>
    <w:rsid w:val="4DDF3E76"/>
    <w:rsid w:val="4DE1199C"/>
    <w:rsid w:val="4DEC4FB0"/>
    <w:rsid w:val="4E075D8A"/>
    <w:rsid w:val="4E0B7EF8"/>
    <w:rsid w:val="4E101023"/>
    <w:rsid w:val="4E16673F"/>
    <w:rsid w:val="4E213B8C"/>
    <w:rsid w:val="4E2875CB"/>
    <w:rsid w:val="4E29247C"/>
    <w:rsid w:val="4E30596E"/>
    <w:rsid w:val="4E323FE9"/>
    <w:rsid w:val="4E353A96"/>
    <w:rsid w:val="4E3C09E9"/>
    <w:rsid w:val="4E40029D"/>
    <w:rsid w:val="4E4144F1"/>
    <w:rsid w:val="4E457B08"/>
    <w:rsid w:val="4E497D56"/>
    <w:rsid w:val="4E500E4D"/>
    <w:rsid w:val="4E593765"/>
    <w:rsid w:val="4E5D1742"/>
    <w:rsid w:val="4E6A7A98"/>
    <w:rsid w:val="4E70598C"/>
    <w:rsid w:val="4E786419"/>
    <w:rsid w:val="4E8476E1"/>
    <w:rsid w:val="4E873DD1"/>
    <w:rsid w:val="4E8D1EC1"/>
    <w:rsid w:val="4E9B792C"/>
    <w:rsid w:val="4E9D5CDF"/>
    <w:rsid w:val="4EA2737D"/>
    <w:rsid w:val="4EAC01FC"/>
    <w:rsid w:val="4EBE21AB"/>
    <w:rsid w:val="4EC00FAD"/>
    <w:rsid w:val="4EC178E6"/>
    <w:rsid w:val="4ECC264C"/>
    <w:rsid w:val="4ED54C94"/>
    <w:rsid w:val="4ED57E9D"/>
    <w:rsid w:val="4ED7041B"/>
    <w:rsid w:val="4EE3422B"/>
    <w:rsid w:val="4EE43656"/>
    <w:rsid w:val="4EE5726A"/>
    <w:rsid w:val="4EEA4880"/>
    <w:rsid w:val="4EED611E"/>
    <w:rsid w:val="4EEE7ECC"/>
    <w:rsid w:val="4EF00BE4"/>
    <w:rsid w:val="4EF851EF"/>
    <w:rsid w:val="4EFE5392"/>
    <w:rsid w:val="4F010023"/>
    <w:rsid w:val="4F1F596D"/>
    <w:rsid w:val="4F240CE3"/>
    <w:rsid w:val="4F2657BC"/>
    <w:rsid w:val="4F277816"/>
    <w:rsid w:val="4F2F04D2"/>
    <w:rsid w:val="4F3F2A07"/>
    <w:rsid w:val="4F415C8C"/>
    <w:rsid w:val="4F42646A"/>
    <w:rsid w:val="4F461EE3"/>
    <w:rsid w:val="4F5030D1"/>
    <w:rsid w:val="4F560168"/>
    <w:rsid w:val="4F6B6B86"/>
    <w:rsid w:val="4F6D6CF9"/>
    <w:rsid w:val="4F7D56F4"/>
    <w:rsid w:val="4F867651"/>
    <w:rsid w:val="4F882C9A"/>
    <w:rsid w:val="4F9843DC"/>
    <w:rsid w:val="4F9E62F5"/>
    <w:rsid w:val="4F9F0C7B"/>
    <w:rsid w:val="4FA008AE"/>
    <w:rsid w:val="4FA7451F"/>
    <w:rsid w:val="4FAD1161"/>
    <w:rsid w:val="4FAE3B00"/>
    <w:rsid w:val="4FBE01E7"/>
    <w:rsid w:val="4FC320DA"/>
    <w:rsid w:val="4FC62A8C"/>
    <w:rsid w:val="4FC82E13"/>
    <w:rsid w:val="4FE20F0D"/>
    <w:rsid w:val="4FE44606"/>
    <w:rsid w:val="4FE51552"/>
    <w:rsid w:val="4FEE57DE"/>
    <w:rsid w:val="4FEF2B59"/>
    <w:rsid w:val="4FEF66F2"/>
    <w:rsid w:val="4FF635FB"/>
    <w:rsid w:val="4FFA7FFD"/>
    <w:rsid w:val="4FFE3A9E"/>
    <w:rsid w:val="50124AB3"/>
    <w:rsid w:val="5012751B"/>
    <w:rsid w:val="501C3D92"/>
    <w:rsid w:val="50247947"/>
    <w:rsid w:val="502743BA"/>
    <w:rsid w:val="50394155"/>
    <w:rsid w:val="50416722"/>
    <w:rsid w:val="504200EF"/>
    <w:rsid w:val="50446212"/>
    <w:rsid w:val="50504C4B"/>
    <w:rsid w:val="50566671"/>
    <w:rsid w:val="50770396"/>
    <w:rsid w:val="507A34AD"/>
    <w:rsid w:val="50815104"/>
    <w:rsid w:val="508C3C85"/>
    <w:rsid w:val="508D7BB1"/>
    <w:rsid w:val="508E252A"/>
    <w:rsid w:val="508E30F0"/>
    <w:rsid w:val="50972C8A"/>
    <w:rsid w:val="509A417D"/>
    <w:rsid w:val="509C6E7C"/>
    <w:rsid w:val="509F2212"/>
    <w:rsid w:val="50A8097D"/>
    <w:rsid w:val="50AC1D83"/>
    <w:rsid w:val="50B415EA"/>
    <w:rsid w:val="50C74D43"/>
    <w:rsid w:val="50E4692A"/>
    <w:rsid w:val="50EE65B9"/>
    <w:rsid w:val="50F01127"/>
    <w:rsid w:val="50F0464E"/>
    <w:rsid w:val="511714D9"/>
    <w:rsid w:val="512C7D0E"/>
    <w:rsid w:val="514809D0"/>
    <w:rsid w:val="514F3DBB"/>
    <w:rsid w:val="5162104E"/>
    <w:rsid w:val="5168214D"/>
    <w:rsid w:val="51687450"/>
    <w:rsid w:val="51711E0D"/>
    <w:rsid w:val="517C32F8"/>
    <w:rsid w:val="51837006"/>
    <w:rsid w:val="5185290B"/>
    <w:rsid w:val="51853BF0"/>
    <w:rsid w:val="519002AE"/>
    <w:rsid w:val="5199124E"/>
    <w:rsid w:val="51AE34E7"/>
    <w:rsid w:val="51AE4D11"/>
    <w:rsid w:val="51B66C8A"/>
    <w:rsid w:val="51BC60EC"/>
    <w:rsid w:val="51C7401F"/>
    <w:rsid w:val="51CE26A7"/>
    <w:rsid w:val="51DD06CC"/>
    <w:rsid w:val="51DF750C"/>
    <w:rsid w:val="51EB0C39"/>
    <w:rsid w:val="51EC6794"/>
    <w:rsid w:val="52070D36"/>
    <w:rsid w:val="52096D8E"/>
    <w:rsid w:val="520C2D5F"/>
    <w:rsid w:val="5210546A"/>
    <w:rsid w:val="521141A7"/>
    <w:rsid w:val="521215D8"/>
    <w:rsid w:val="52123CA4"/>
    <w:rsid w:val="5215027A"/>
    <w:rsid w:val="521C2A0E"/>
    <w:rsid w:val="521C7FFB"/>
    <w:rsid w:val="521D420C"/>
    <w:rsid w:val="521E07EC"/>
    <w:rsid w:val="523561D6"/>
    <w:rsid w:val="524148CA"/>
    <w:rsid w:val="525A142D"/>
    <w:rsid w:val="525D6B36"/>
    <w:rsid w:val="5268334F"/>
    <w:rsid w:val="52861EA1"/>
    <w:rsid w:val="52891ED8"/>
    <w:rsid w:val="529A632F"/>
    <w:rsid w:val="529F64D5"/>
    <w:rsid w:val="52A14F0F"/>
    <w:rsid w:val="52A80CDA"/>
    <w:rsid w:val="52B36E6F"/>
    <w:rsid w:val="52B93532"/>
    <w:rsid w:val="52D61B0B"/>
    <w:rsid w:val="52E41D67"/>
    <w:rsid w:val="52E46718"/>
    <w:rsid w:val="52E75438"/>
    <w:rsid w:val="52EB5E56"/>
    <w:rsid w:val="52F116BC"/>
    <w:rsid w:val="53033E61"/>
    <w:rsid w:val="53071FDA"/>
    <w:rsid w:val="530A6A72"/>
    <w:rsid w:val="531127D2"/>
    <w:rsid w:val="53123109"/>
    <w:rsid w:val="532B5A39"/>
    <w:rsid w:val="532F2D81"/>
    <w:rsid w:val="533A6697"/>
    <w:rsid w:val="53461D5E"/>
    <w:rsid w:val="53480499"/>
    <w:rsid w:val="535B7BC7"/>
    <w:rsid w:val="536223C1"/>
    <w:rsid w:val="53863418"/>
    <w:rsid w:val="538B3B44"/>
    <w:rsid w:val="53995781"/>
    <w:rsid w:val="539A69E9"/>
    <w:rsid w:val="53A039CC"/>
    <w:rsid w:val="53A113C6"/>
    <w:rsid w:val="53A1505A"/>
    <w:rsid w:val="53A62D8A"/>
    <w:rsid w:val="53A65BF5"/>
    <w:rsid w:val="53A771E4"/>
    <w:rsid w:val="53A93F4D"/>
    <w:rsid w:val="53B06A55"/>
    <w:rsid w:val="53C54D6C"/>
    <w:rsid w:val="53CF07DB"/>
    <w:rsid w:val="53DE55AB"/>
    <w:rsid w:val="53FA37B7"/>
    <w:rsid w:val="54063E08"/>
    <w:rsid w:val="54075E4C"/>
    <w:rsid w:val="54095C24"/>
    <w:rsid w:val="541F6D7A"/>
    <w:rsid w:val="542A4D13"/>
    <w:rsid w:val="542F3E25"/>
    <w:rsid w:val="543437E8"/>
    <w:rsid w:val="54424265"/>
    <w:rsid w:val="545A6516"/>
    <w:rsid w:val="54607C2A"/>
    <w:rsid w:val="546932D8"/>
    <w:rsid w:val="54696907"/>
    <w:rsid w:val="54744C81"/>
    <w:rsid w:val="548C2986"/>
    <w:rsid w:val="548E46D3"/>
    <w:rsid w:val="54A84704"/>
    <w:rsid w:val="54AA42EE"/>
    <w:rsid w:val="54C56319"/>
    <w:rsid w:val="54CA2509"/>
    <w:rsid w:val="54D460B5"/>
    <w:rsid w:val="54D572F5"/>
    <w:rsid w:val="54DC06B9"/>
    <w:rsid w:val="54E03326"/>
    <w:rsid w:val="54F73313"/>
    <w:rsid w:val="54F80955"/>
    <w:rsid w:val="54F95460"/>
    <w:rsid w:val="550169F7"/>
    <w:rsid w:val="551116E7"/>
    <w:rsid w:val="551D1FC5"/>
    <w:rsid w:val="55414258"/>
    <w:rsid w:val="554312E3"/>
    <w:rsid w:val="554D7B28"/>
    <w:rsid w:val="555170A7"/>
    <w:rsid w:val="55570796"/>
    <w:rsid w:val="55573D78"/>
    <w:rsid w:val="555C32CD"/>
    <w:rsid w:val="556578BB"/>
    <w:rsid w:val="55675113"/>
    <w:rsid w:val="557210F4"/>
    <w:rsid w:val="55791F95"/>
    <w:rsid w:val="558101C4"/>
    <w:rsid w:val="55831EA7"/>
    <w:rsid w:val="5587107B"/>
    <w:rsid w:val="5587536D"/>
    <w:rsid w:val="558E7279"/>
    <w:rsid w:val="558F1CDD"/>
    <w:rsid w:val="559836E7"/>
    <w:rsid w:val="559B174B"/>
    <w:rsid w:val="559B2D78"/>
    <w:rsid w:val="55AA4D69"/>
    <w:rsid w:val="55AF7FBB"/>
    <w:rsid w:val="55B36CAC"/>
    <w:rsid w:val="55B654BC"/>
    <w:rsid w:val="55BC21D7"/>
    <w:rsid w:val="55C146A9"/>
    <w:rsid w:val="55C54FFD"/>
    <w:rsid w:val="55C57C33"/>
    <w:rsid w:val="55C67DF5"/>
    <w:rsid w:val="55CE0CF4"/>
    <w:rsid w:val="55DC7F1F"/>
    <w:rsid w:val="55DD513F"/>
    <w:rsid w:val="55E70297"/>
    <w:rsid w:val="55F07B32"/>
    <w:rsid w:val="55F304BE"/>
    <w:rsid w:val="55F45C9C"/>
    <w:rsid w:val="55F81239"/>
    <w:rsid w:val="55FA184D"/>
    <w:rsid w:val="55FC08E0"/>
    <w:rsid w:val="5613395E"/>
    <w:rsid w:val="561A3C9D"/>
    <w:rsid w:val="56341032"/>
    <w:rsid w:val="56427234"/>
    <w:rsid w:val="56642EB2"/>
    <w:rsid w:val="56694C24"/>
    <w:rsid w:val="566A32BA"/>
    <w:rsid w:val="566E388E"/>
    <w:rsid w:val="56740621"/>
    <w:rsid w:val="567D16A3"/>
    <w:rsid w:val="56927CD7"/>
    <w:rsid w:val="56A21128"/>
    <w:rsid w:val="56AC6AB8"/>
    <w:rsid w:val="56AD2D63"/>
    <w:rsid w:val="56B22A9C"/>
    <w:rsid w:val="56B47DD7"/>
    <w:rsid w:val="56B91708"/>
    <w:rsid w:val="56BE2871"/>
    <w:rsid w:val="56C517D9"/>
    <w:rsid w:val="56CD5172"/>
    <w:rsid w:val="56D65069"/>
    <w:rsid w:val="56EE0C86"/>
    <w:rsid w:val="56F64999"/>
    <w:rsid w:val="56FD4649"/>
    <w:rsid w:val="57004D88"/>
    <w:rsid w:val="57007337"/>
    <w:rsid w:val="57042854"/>
    <w:rsid w:val="57042BD7"/>
    <w:rsid w:val="57045811"/>
    <w:rsid w:val="5710248A"/>
    <w:rsid w:val="572B3FFE"/>
    <w:rsid w:val="572B6870"/>
    <w:rsid w:val="573053BE"/>
    <w:rsid w:val="57321AE9"/>
    <w:rsid w:val="5737292C"/>
    <w:rsid w:val="573F48E9"/>
    <w:rsid w:val="57451276"/>
    <w:rsid w:val="574F3E1A"/>
    <w:rsid w:val="57596A47"/>
    <w:rsid w:val="575B793A"/>
    <w:rsid w:val="57617DD4"/>
    <w:rsid w:val="578C4726"/>
    <w:rsid w:val="578D09B2"/>
    <w:rsid w:val="57920311"/>
    <w:rsid w:val="57A8556B"/>
    <w:rsid w:val="57AB621C"/>
    <w:rsid w:val="57AF2B0B"/>
    <w:rsid w:val="57B72A76"/>
    <w:rsid w:val="57B85A56"/>
    <w:rsid w:val="57C3426C"/>
    <w:rsid w:val="57CE1F93"/>
    <w:rsid w:val="57E510B2"/>
    <w:rsid w:val="57EA565A"/>
    <w:rsid w:val="581A5E70"/>
    <w:rsid w:val="58207565"/>
    <w:rsid w:val="582421D0"/>
    <w:rsid w:val="582812EE"/>
    <w:rsid w:val="583A61AB"/>
    <w:rsid w:val="585F1E3B"/>
    <w:rsid w:val="586550E5"/>
    <w:rsid w:val="58673C38"/>
    <w:rsid w:val="587A1613"/>
    <w:rsid w:val="587E5158"/>
    <w:rsid w:val="58843182"/>
    <w:rsid w:val="58855538"/>
    <w:rsid w:val="588743D1"/>
    <w:rsid w:val="5887701A"/>
    <w:rsid w:val="588B7AFC"/>
    <w:rsid w:val="58A7004C"/>
    <w:rsid w:val="58B05895"/>
    <w:rsid w:val="58B41F26"/>
    <w:rsid w:val="58BE3005"/>
    <w:rsid w:val="58BF6E3E"/>
    <w:rsid w:val="58C54444"/>
    <w:rsid w:val="58CF0190"/>
    <w:rsid w:val="58D345D7"/>
    <w:rsid w:val="58D431C1"/>
    <w:rsid w:val="58DB149A"/>
    <w:rsid w:val="58ED1584"/>
    <w:rsid w:val="58ED6EA2"/>
    <w:rsid w:val="58F110B6"/>
    <w:rsid w:val="58FA498D"/>
    <w:rsid w:val="59044790"/>
    <w:rsid w:val="59136685"/>
    <w:rsid w:val="591C0E16"/>
    <w:rsid w:val="592C5CEF"/>
    <w:rsid w:val="59454E78"/>
    <w:rsid w:val="594B2FA7"/>
    <w:rsid w:val="594F0101"/>
    <w:rsid w:val="595A33FB"/>
    <w:rsid w:val="595E20F3"/>
    <w:rsid w:val="597231E9"/>
    <w:rsid w:val="597672AC"/>
    <w:rsid w:val="59800190"/>
    <w:rsid w:val="59832A99"/>
    <w:rsid w:val="59897385"/>
    <w:rsid w:val="598A267F"/>
    <w:rsid w:val="598B1DD3"/>
    <w:rsid w:val="5991071A"/>
    <w:rsid w:val="599B19A0"/>
    <w:rsid w:val="59A300DA"/>
    <w:rsid w:val="59B83C19"/>
    <w:rsid w:val="59C0439F"/>
    <w:rsid w:val="59C04B5B"/>
    <w:rsid w:val="59CF6769"/>
    <w:rsid w:val="59E85E60"/>
    <w:rsid w:val="59FD40F9"/>
    <w:rsid w:val="5A022578"/>
    <w:rsid w:val="5A026F22"/>
    <w:rsid w:val="5A13634D"/>
    <w:rsid w:val="5A141BF6"/>
    <w:rsid w:val="5A1F5D26"/>
    <w:rsid w:val="5A1F7180"/>
    <w:rsid w:val="5A295D82"/>
    <w:rsid w:val="5A347C35"/>
    <w:rsid w:val="5A3C3438"/>
    <w:rsid w:val="5A477D4A"/>
    <w:rsid w:val="5A4D0AF7"/>
    <w:rsid w:val="5A6729E3"/>
    <w:rsid w:val="5A7B1F5E"/>
    <w:rsid w:val="5A8042EB"/>
    <w:rsid w:val="5A82751D"/>
    <w:rsid w:val="5A844778"/>
    <w:rsid w:val="5A8950E2"/>
    <w:rsid w:val="5A8B430E"/>
    <w:rsid w:val="5AA02F74"/>
    <w:rsid w:val="5AAC0082"/>
    <w:rsid w:val="5AAC784E"/>
    <w:rsid w:val="5AB6358D"/>
    <w:rsid w:val="5ABE2233"/>
    <w:rsid w:val="5ACF4540"/>
    <w:rsid w:val="5ADA39FB"/>
    <w:rsid w:val="5ADE737D"/>
    <w:rsid w:val="5ADE798F"/>
    <w:rsid w:val="5AE018E3"/>
    <w:rsid w:val="5AE10144"/>
    <w:rsid w:val="5AF0321E"/>
    <w:rsid w:val="5AF95172"/>
    <w:rsid w:val="5AFB0C24"/>
    <w:rsid w:val="5B1C06DB"/>
    <w:rsid w:val="5B243D42"/>
    <w:rsid w:val="5B263207"/>
    <w:rsid w:val="5B2851C3"/>
    <w:rsid w:val="5B2A2825"/>
    <w:rsid w:val="5B4215FA"/>
    <w:rsid w:val="5B484DF0"/>
    <w:rsid w:val="5B4C69E7"/>
    <w:rsid w:val="5B4E6197"/>
    <w:rsid w:val="5B534D22"/>
    <w:rsid w:val="5B5B0FE0"/>
    <w:rsid w:val="5B6B21E9"/>
    <w:rsid w:val="5B752BA3"/>
    <w:rsid w:val="5B955B74"/>
    <w:rsid w:val="5BCB52A7"/>
    <w:rsid w:val="5BCE2DF3"/>
    <w:rsid w:val="5BD61486"/>
    <w:rsid w:val="5BDA5ACC"/>
    <w:rsid w:val="5BDF5D95"/>
    <w:rsid w:val="5BED6CB8"/>
    <w:rsid w:val="5BF417A7"/>
    <w:rsid w:val="5BFE2A0B"/>
    <w:rsid w:val="5BFE7528"/>
    <w:rsid w:val="5C007932"/>
    <w:rsid w:val="5C0338F6"/>
    <w:rsid w:val="5C0A7AB5"/>
    <w:rsid w:val="5C0B1AFD"/>
    <w:rsid w:val="5C0E3B7C"/>
    <w:rsid w:val="5C0F7555"/>
    <w:rsid w:val="5C1E5B57"/>
    <w:rsid w:val="5C236FCD"/>
    <w:rsid w:val="5C277114"/>
    <w:rsid w:val="5C2C447C"/>
    <w:rsid w:val="5C393A3A"/>
    <w:rsid w:val="5C4001D5"/>
    <w:rsid w:val="5C4857B4"/>
    <w:rsid w:val="5C4C6DEB"/>
    <w:rsid w:val="5C4D46E5"/>
    <w:rsid w:val="5C513029"/>
    <w:rsid w:val="5C5C0C09"/>
    <w:rsid w:val="5C5C7D4C"/>
    <w:rsid w:val="5C601F98"/>
    <w:rsid w:val="5C646E75"/>
    <w:rsid w:val="5C7A36E7"/>
    <w:rsid w:val="5C7E1614"/>
    <w:rsid w:val="5C841432"/>
    <w:rsid w:val="5C870281"/>
    <w:rsid w:val="5C8B50F1"/>
    <w:rsid w:val="5C95407D"/>
    <w:rsid w:val="5C970213"/>
    <w:rsid w:val="5C9B3363"/>
    <w:rsid w:val="5C9D6752"/>
    <w:rsid w:val="5CBD5E37"/>
    <w:rsid w:val="5CCA40B3"/>
    <w:rsid w:val="5CCB58F3"/>
    <w:rsid w:val="5CD815BB"/>
    <w:rsid w:val="5CF54B1C"/>
    <w:rsid w:val="5CF95466"/>
    <w:rsid w:val="5CFC34F0"/>
    <w:rsid w:val="5D020521"/>
    <w:rsid w:val="5D060455"/>
    <w:rsid w:val="5D0E09C1"/>
    <w:rsid w:val="5D14180F"/>
    <w:rsid w:val="5D1F428F"/>
    <w:rsid w:val="5D202A76"/>
    <w:rsid w:val="5D212AAB"/>
    <w:rsid w:val="5D232ADE"/>
    <w:rsid w:val="5D2453D0"/>
    <w:rsid w:val="5D297FEB"/>
    <w:rsid w:val="5D2B2C34"/>
    <w:rsid w:val="5D2C0B75"/>
    <w:rsid w:val="5D2D2856"/>
    <w:rsid w:val="5D2D68A7"/>
    <w:rsid w:val="5D3138B5"/>
    <w:rsid w:val="5D380568"/>
    <w:rsid w:val="5D51046C"/>
    <w:rsid w:val="5D515DCF"/>
    <w:rsid w:val="5D5246E9"/>
    <w:rsid w:val="5D527F1C"/>
    <w:rsid w:val="5D70617F"/>
    <w:rsid w:val="5D746972"/>
    <w:rsid w:val="5D7612EA"/>
    <w:rsid w:val="5D776BCE"/>
    <w:rsid w:val="5D7D0FEF"/>
    <w:rsid w:val="5D83037A"/>
    <w:rsid w:val="5D8521D1"/>
    <w:rsid w:val="5D895D93"/>
    <w:rsid w:val="5D950444"/>
    <w:rsid w:val="5D9B1B18"/>
    <w:rsid w:val="5D9B45D8"/>
    <w:rsid w:val="5D9F6963"/>
    <w:rsid w:val="5DAE6832"/>
    <w:rsid w:val="5DB22A0D"/>
    <w:rsid w:val="5DC376BF"/>
    <w:rsid w:val="5DCC6AFE"/>
    <w:rsid w:val="5DD42C37"/>
    <w:rsid w:val="5DD706C5"/>
    <w:rsid w:val="5DD835AD"/>
    <w:rsid w:val="5DE9235D"/>
    <w:rsid w:val="5E056FE1"/>
    <w:rsid w:val="5E077808"/>
    <w:rsid w:val="5E10651B"/>
    <w:rsid w:val="5E216F91"/>
    <w:rsid w:val="5E245756"/>
    <w:rsid w:val="5E2467F1"/>
    <w:rsid w:val="5E290DED"/>
    <w:rsid w:val="5E2F3E75"/>
    <w:rsid w:val="5E317DD6"/>
    <w:rsid w:val="5E391380"/>
    <w:rsid w:val="5E4D1230"/>
    <w:rsid w:val="5E514FD0"/>
    <w:rsid w:val="5E530AA5"/>
    <w:rsid w:val="5E5353B4"/>
    <w:rsid w:val="5E54037B"/>
    <w:rsid w:val="5E5B12F6"/>
    <w:rsid w:val="5E5C7B71"/>
    <w:rsid w:val="5E6240B9"/>
    <w:rsid w:val="5E6C7060"/>
    <w:rsid w:val="5E6C7D78"/>
    <w:rsid w:val="5E744166"/>
    <w:rsid w:val="5E781EA8"/>
    <w:rsid w:val="5E8439F2"/>
    <w:rsid w:val="5E89254A"/>
    <w:rsid w:val="5E944A7B"/>
    <w:rsid w:val="5E993BCD"/>
    <w:rsid w:val="5EA721D8"/>
    <w:rsid w:val="5EAD78B9"/>
    <w:rsid w:val="5EAE7678"/>
    <w:rsid w:val="5EAF519E"/>
    <w:rsid w:val="5EB03D8B"/>
    <w:rsid w:val="5EB664D9"/>
    <w:rsid w:val="5EC5223F"/>
    <w:rsid w:val="5EC81CFC"/>
    <w:rsid w:val="5EE10186"/>
    <w:rsid w:val="5EE4794F"/>
    <w:rsid w:val="5EE95497"/>
    <w:rsid w:val="5EFA28BD"/>
    <w:rsid w:val="5F163611"/>
    <w:rsid w:val="5F17346F"/>
    <w:rsid w:val="5F190589"/>
    <w:rsid w:val="5F1A2B43"/>
    <w:rsid w:val="5F1A6FD3"/>
    <w:rsid w:val="5F1D7DC7"/>
    <w:rsid w:val="5F217E4A"/>
    <w:rsid w:val="5F293570"/>
    <w:rsid w:val="5F2A05A5"/>
    <w:rsid w:val="5F3A1D4F"/>
    <w:rsid w:val="5F3D27AA"/>
    <w:rsid w:val="5F417343"/>
    <w:rsid w:val="5F4710C5"/>
    <w:rsid w:val="5F550EB1"/>
    <w:rsid w:val="5F5808C4"/>
    <w:rsid w:val="5F585836"/>
    <w:rsid w:val="5F601649"/>
    <w:rsid w:val="5F663A96"/>
    <w:rsid w:val="5F8B7C28"/>
    <w:rsid w:val="5F905DA4"/>
    <w:rsid w:val="5F953767"/>
    <w:rsid w:val="5F9C5723"/>
    <w:rsid w:val="5F9E08EB"/>
    <w:rsid w:val="5FA34FCB"/>
    <w:rsid w:val="5FA42124"/>
    <w:rsid w:val="5FA71F5B"/>
    <w:rsid w:val="5FAA33D1"/>
    <w:rsid w:val="5FAB3BB8"/>
    <w:rsid w:val="5FB24F46"/>
    <w:rsid w:val="5FB837BB"/>
    <w:rsid w:val="5FB97CF5"/>
    <w:rsid w:val="5FC37083"/>
    <w:rsid w:val="5FE2286C"/>
    <w:rsid w:val="5FE71FE3"/>
    <w:rsid w:val="5FE804B2"/>
    <w:rsid w:val="5FEB3366"/>
    <w:rsid w:val="60150322"/>
    <w:rsid w:val="60155C2C"/>
    <w:rsid w:val="60164F7F"/>
    <w:rsid w:val="60185746"/>
    <w:rsid w:val="601A50D2"/>
    <w:rsid w:val="601E0862"/>
    <w:rsid w:val="601E61D7"/>
    <w:rsid w:val="602D77EA"/>
    <w:rsid w:val="60335A63"/>
    <w:rsid w:val="603B5700"/>
    <w:rsid w:val="604069F6"/>
    <w:rsid w:val="6042276E"/>
    <w:rsid w:val="60444533"/>
    <w:rsid w:val="604C2B05"/>
    <w:rsid w:val="604C494B"/>
    <w:rsid w:val="60597912"/>
    <w:rsid w:val="605B48A0"/>
    <w:rsid w:val="606D711B"/>
    <w:rsid w:val="60703291"/>
    <w:rsid w:val="60727CD7"/>
    <w:rsid w:val="608158F0"/>
    <w:rsid w:val="60935785"/>
    <w:rsid w:val="60942E6D"/>
    <w:rsid w:val="6099130E"/>
    <w:rsid w:val="609954AE"/>
    <w:rsid w:val="609F16B5"/>
    <w:rsid w:val="60AD22D9"/>
    <w:rsid w:val="60BA4552"/>
    <w:rsid w:val="60BB276F"/>
    <w:rsid w:val="60BE50A9"/>
    <w:rsid w:val="60C44EA2"/>
    <w:rsid w:val="60C60F03"/>
    <w:rsid w:val="60CC405A"/>
    <w:rsid w:val="60CF1B28"/>
    <w:rsid w:val="60D62A10"/>
    <w:rsid w:val="60DF0FD3"/>
    <w:rsid w:val="60F6481E"/>
    <w:rsid w:val="61022244"/>
    <w:rsid w:val="611001F4"/>
    <w:rsid w:val="61201591"/>
    <w:rsid w:val="613B64D4"/>
    <w:rsid w:val="613E71AA"/>
    <w:rsid w:val="614579C6"/>
    <w:rsid w:val="614A3BE6"/>
    <w:rsid w:val="614F44E8"/>
    <w:rsid w:val="61504A17"/>
    <w:rsid w:val="61542660"/>
    <w:rsid w:val="615564D1"/>
    <w:rsid w:val="615F5A28"/>
    <w:rsid w:val="616439F1"/>
    <w:rsid w:val="617007F7"/>
    <w:rsid w:val="6181361B"/>
    <w:rsid w:val="618A7EB1"/>
    <w:rsid w:val="61900722"/>
    <w:rsid w:val="619269BD"/>
    <w:rsid w:val="61987645"/>
    <w:rsid w:val="61B76646"/>
    <w:rsid w:val="61BD221B"/>
    <w:rsid w:val="61C2296E"/>
    <w:rsid w:val="61C3343B"/>
    <w:rsid w:val="61C35EF6"/>
    <w:rsid w:val="61C471B3"/>
    <w:rsid w:val="61C97E28"/>
    <w:rsid w:val="61D02648"/>
    <w:rsid w:val="61D347F6"/>
    <w:rsid w:val="61E215D8"/>
    <w:rsid w:val="61EE3B85"/>
    <w:rsid w:val="61EE49A3"/>
    <w:rsid w:val="61F10866"/>
    <w:rsid w:val="61F84431"/>
    <w:rsid w:val="620422EE"/>
    <w:rsid w:val="62120903"/>
    <w:rsid w:val="621B3775"/>
    <w:rsid w:val="622A06FA"/>
    <w:rsid w:val="62313ADD"/>
    <w:rsid w:val="62364782"/>
    <w:rsid w:val="623E0D13"/>
    <w:rsid w:val="62421C90"/>
    <w:rsid w:val="62452B15"/>
    <w:rsid w:val="625C7ACE"/>
    <w:rsid w:val="626E50AF"/>
    <w:rsid w:val="6274077D"/>
    <w:rsid w:val="628342E6"/>
    <w:rsid w:val="62935F75"/>
    <w:rsid w:val="62960B4F"/>
    <w:rsid w:val="629F5A2E"/>
    <w:rsid w:val="62AC2121"/>
    <w:rsid w:val="62AE04EE"/>
    <w:rsid w:val="62B66AFB"/>
    <w:rsid w:val="62B73297"/>
    <w:rsid w:val="62BC0A56"/>
    <w:rsid w:val="62C95758"/>
    <w:rsid w:val="62D36FF2"/>
    <w:rsid w:val="62DC3C2E"/>
    <w:rsid w:val="62E10DF0"/>
    <w:rsid w:val="62E12746"/>
    <w:rsid w:val="62FA4AEE"/>
    <w:rsid w:val="62FA4DD3"/>
    <w:rsid w:val="62FB68D1"/>
    <w:rsid w:val="62FD4156"/>
    <w:rsid w:val="63097B7E"/>
    <w:rsid w:val="631F6743"/>
    <w:rsid w:val="632271C7"/>
    <w:rsid w:val="634420DC"/>
    <w:rsid w:val="634E4F86"/>
    <w:rsid w:val="635C6D13"/>
    <w:rsid w:val="636D275A"/>
    <w:rsid w:val="637407C0"/>
    <w:rsid w:val="63901500"/>
    <w:rsid w:val="6394356A"/>
    <w:rsid w:val="639C4C2B"/>
    <w:rsid w:val="63B6529F"/>
    <w:rsid w:val="63C132B7"/>
    <w:rsid w:val="63C3069F"/>
    <w:rsid w:val="63C61B2C"/>
    <w:rsid w:val="63CB20B9"/>
    <w:rsid w:val="63D40BE9"/>
    <w:rsid w:val="63F663EB"/>
    <w:rsid w:val="63F66A7A"/>
    <w:rsid w:val="63F91396"/>
    <w:rsid w:val="63F97D23"/>
    <w:rsid w:val="64021A7C"/>
    <w:rsid w:val="640D738B"/>
    <w:rsid w:val="64102431"/>
    <w:rsid w:val="641D1467"/>
    <w:rsid w:val="642B14B4"/>
    <w:rsid w:val="64315E63"/>
    <w:rsid w:val="643C7516"/>
    <w:rsid w:val="64406728"/>
    <w:rsid w:val="64436AB5"/>
    <w:rsid w:val="644F6555"/>
    <w:rsid w:val="64574F2A"/>
    <w:rsid w:val="645F1581"/>
    <w:rsid w:val="64600727"/>
    <w:rsid w:val="647F4F55"/>
    <w:rsid w:val="649E0A7F"/>
    <w:rsid w:val="64A5243A"/>
    <w:rsid w:val="64A82A8F"/>
    <w:rsid w:val="64B05714"/>
    <w:rsid w:val="64B10A1E"/>
    <w:rsid w:val="64B17EC2"/>
    <w:rsid w:val="64B2540B"/>
    <w:rsid w:val="64B574DC"/>
    <w:rsid w:val="64BD21E6"/>
    <w:rsid w:val="64C761C7"/>
    <w:rsid w:val="64CA2D32"/>
    <w:rsid w:val="64E82524"/>
    <w:rsid w:val="64EF628D"/>
    <w:rsid w:val="64F531DE"/>
    <w:rsid w:val="65147347"/>
    <w:rsid w:val="651D7306"/>
    <w:rsid w:val="65221487"/>
    <w:rsid w:val="65335629"/>
    <w:rsid w:val="65373578"/>
    <w:rsid w:val="653D2179"/>
    <w:rsid w:val="653E1C9F"/>
    <w:rsid w:val="653E74CB"/>
    <w:rsid w:val="654044EF"/>
    <w:rsid w:val="65477941"/>
    <w:rsid w:val="654E1DEF"/>
    <w:rsid w:val="6558033E"/>
    <w:rsid w:val="655D5954"/>
    <w:rsid w:val="65612041"/>
    <w:rsid w:val="65654785"/>
    <w:rsid w:val="657F5066"/>
    <w:rsid w:val="6582360D"/>
    <w:rsid w:val="65A11CE5"/>
    <w:rsid w:val="65A27DE2"/>
    <w:rsid w:val="65B013BC"/>
    <w:rsid w:val="65B24FD8"/>
    <w:rsid w:val="65BE3F11"/>
    <w:rsid w:val="65C23A09"/>
    <w:rsid w:val="65C634F9"/>
    <w:rsid w:val="65C97793"/>
    <w:rsid w:val="65D929CA"/>
    <w:rsid w:val="65E34872"/>
    <w:rsid w:val="65E92CC2"/>
    <w:rsid w:val="65F14E43"/>
    <w:rsid w:val="65FA21F8"/>
    <w:rsid w:val="65FE032C"/>
    <w:rsid w:val="66095393"/>
    <w:rsid w:val="660B3602"/>
    <w:rsid w:val="6618187B"/>
    <w:rsid w:val="662619FB"/>
    <w:rsid w:val="66391F1D"/>
    <w:rsid w:val="66410DD2"/>
    <w:rsid w:val="66466D5C"/>
    <w:rsid w:val="664B169A"/>
    <w:rsid w:val="665825EE"/>
    <w:rsid w:val="66692BC4"/>
    <w:rsid w:val="66712A31"/>
    <w:rsid w:val="66727142"/>
    <w:rsid w:val="66796C13"/>
    <w:rsid w:val="6683763C"/>
    <w:rsid w:val="66881C27"/>
    <w:rsid w:val="668A35BE"/>
    <w:rsid w:val="66921EF4"/>
    <w:rsid w:val="66A17AC3"/>
    <w:rsid w:val="66A56021"/>
    <w:rsid w:val="66AF474D"/>
    <w:rsid w:val="66B14685"/>
    <w:rsid w:val="66B3533E"/>
    <w:rsid w:val="66C60C36"/>
    <w:rsid w:val="66CD3091"/>
    <w:rsid w:val="66DC402E"/>
    <w:rsid w:val="66F4589A"/>
    <w:rsid w:val="66F67DB4"/>
    <w:rsid w:val="67035656"/>
    <w:rsid w:val="67057182"/>
    <w:rsid w:val="670A3A40"/>
    <w:rsid w:val="67136C12"/>
    <w:rsid w:val="67143C6D"/>
    <w:rsid w:val="671A659D"/>
    <w:rsid w:val="671E464F"/>
    <w:rsid w:val="671F124A"/>
    <w:rsid w:val="672004AF"/>
    <w:rsid w:val="672747B1"/>
    <w:rsid w:val="67354D03"/>
    <w:rsid w:val="67371811"/>
    <w:rsid w:val="673F58BB"/>
    <w:rsid w:val="675E59B4"/>
    <w:rsid w:val="6768183D"/>
    <w:rsid w:val="67725479"/>
    <w:rsid w:val="677A33C6"/>
    <w:rsid w:val="67890C82"/>
    <w:rsid w:val="67895F65"/>
    <w:rsid w:val="678C4E6E"/>
    <w:rsid w:val="679037A5"/>
    <w:rsid w:val="67917B37"/>
    <w:rsid w:val="67950838"/>
    <w:rsid w:val="679B2764"/>
    <w:rsid w:val="679F113A"/>
    <w:rsid w:val="67A239B5"/>
    <w:rsid w:val="67A76153"/>
    <w:rsid w:val="67AD59B9"/>
    <w:rsid w:val="67B101D9"/>
    <w:rsid w:val="67C90209"/>
    <w:rsid w:val="67D6099E"/>
    <w:rsid w:val="67E660D5"/>
    <w:rsid w:val="67F7050D"/>
    <w:rsid w:val="67FD0AD6"/>
    <w:rsid w:val="67FE69A2"/>
    <w:rsid w:val="680051EA"/>
    <w:rsid w:val="680A5D1B"/>
    <w:rsid w:val="680F2238"/>
    <w:rsid w:val="68176C9F"/>
    <w:rsid w:val="681A459B"/>
    <w:rsid w:val="681B4A2C"/>
    <w:rsid w:val="681E3B1C"/>
    <w:rsid w:val="681F6961"/>
    <w:rsid w:val="6839545D"/>
    <w:rsid w:val="683F57E5"/>
    <w:rsid w:val="683F5A34"/>
    <w:rsid w:val="684235A5"/>
    <w:rsid w:val="684D3A5E"/>
    <w:rsid w:val="684D4078"/>
    <w:rsid w:val="6856402F"/>
    <w:rsid w:val="68610A2F"/>
    <w:rsid w:val="68614103"/>
    <w:rsid w:val="686175BB"/>
    <w:rsid w:val="686D659B"/>
    <w:rsid w:val="68774E46"/>
    <w:rsid w:val="687A681D"/>
    <w:rsid w:val="68805514"/>
    <w:rsid w:val="688966EC"/>
    <w:rsid w:val="688C752B"/>
    <w:rsid w:val="6893437E"/>
    <w:rsid w:val="689D4927"/>
    <w:rsid w:val="68A22DE8"/>
    <w:rsid w:val="68A35D74"/>
    <w:rsid w:val="68A845CF"/>
    <w:rsid w:val="68AC5397"/>
    <w:rsid w:val="68B503D0"/>
    <w:rsid w:val="68BE0F55"/>
    <w:rsid w:val="68CA55C5"/>
    <w:rsid w:val="68D30FAC"/>
    <w:rsid w:val="68D91796"/>
    <w:rsid w:val="68DE3A82"/>
    <w:rsid w:val="68F25280"/>
    <w:rsid w:val="68F97580"/>
    <w:rsid w:val="68FA4D83"/>
    <w:rsid w:val="68FC5F7A"/>
    <w:rsid w:val="69003064"/>
    <w:rsid w:val="69054339"/>
    <w:rsid w:val="690758D3"/>
    <w:rsid w:val="69125737"/>
    <w:rsid w:val="691E6D47"/>
    <w:rsid w:val="69250E15"/>
    <w:rsid w:val="692844CB"/>
    <w:rsid w:val="69316E2F"/>
    <w:rsid w:val="693A32EC"/>
    <w:rsid w:val="693E0F96"/>
    <w:rsid w:val="694E2071"/>
    <w:rsid w:val="695C4CD6"/>
    <w:rsid w:val="6961581B"/>
    <w:rsid w:val="69700315"/>
    <w:rsid w:val="69766163"/>
    <w:rsid w:val="697A3B33"/>
    <w:rsid w:val="69854E30"/>
    <w:rsid w:val="698801F5"/>
    <w:rsid w:val="698C2CAC"/>
    <w:rsid w:val="698E09E5"/>
    <w:rsid w:val="69931DA8"/>
    <w:rsid w:val="69970E32"/>
    <w:rsid w:val="699A5B65"/>
    <w:rsid w:val="69A7605A"/>
    <w:rsid w:val="69A90A59"/>
    <w:rsid w:val="69AD4923"/>
    <w:rsid w:val="69B40BAF"/>
    <w:rsid w:val="69B4620D"/>
    <w:rsid w:val="69B90DC8"/>
    <w:rsid w:val="69BE4C3E"/>
    <w:rsid w:val="69C54E05"/>
    <w:rsid w:val="69CB6B96"/>
    <w:rsid w:val="69D15C6D"/>
    <w:rsid w:val="69D35B9E"/>
    <w:rsid w:val="69D44760"/>
    <w:rsid w:val="69D6418F"/>
    <w:rsid w:val="69D81A4D"/>
    <w:rsid w:val="69EE217B"/>
    <w:rsid w:val="6A09144F"/>
    <w:rsid w:val="6A1406E7"/>
    <w:rsid w:val="6A3824EC"/>
    <w:rsid w:val="6A444499"/>
    <w:rsid w:val="6A520EC7"/>
    <w:rsid w:val="6A5446FB"/>
    <w:rsid w:val="6A550E2D"/>
    <w:rsid w:val="6A5A4C4A"/>
    <w:rsid w:val="6A5D1F52"/>
    <w:rsid w:val="6A614913"/>
    <w:rsid w:val="6A686C67"/>
    <w:rsid w:val="6A71208B"/>
    <w:rsid w:val="6A797D59"/>
    <w:rsid w:val="6A880C15"/>
    <w:rsid w:val="6A89462F"/>
    <w:rsid w:val="6A8A71EB"/>
    <w:rsid w:val="6A8B1095"/>
    <w:rsid w:val="6A9725ED"/>
    <w:rsid w:val="6A9C52FB"/>
    <w:rsid w:val="6AA75C5A"/>
    <w:rsid w:val="6AC13863"/>
    <w:rsid w:val="6AC54B68"/>
    <w:rsid w:val="6ACA692C"/>
    <w:rsid w:val="6AD10AF9"/>
    <w:rsid w:val="6AE54422"/>
    <w:rsid w:val="6AF337E8"/>
    <w:rsid w:val="6AF44ED9"/>
    <w:rsid w:val="6AF87E20"/>
    <w:rsid w:val="6AF93C7A"/>
    <w:rsid w:val="6B0F6584"/>
    <w:rsid w:val="6B1B3A43"/>
    <w:rsid w:val="6B322639"/>
    <w:rsid w:val="6B39476E"/>
    <w:rsid w:val="6B3A7307"/>
    <w:rsid w:val="6B4F1C3E"/>
    <w:rsid w:val="6B5430EF"/>
    <w:rsid w:val="6B5918C5"/>
    <w:rsid w:val="6B623CC4"/>
    <w:rsid w:val="6B6E1AF6"/>
    <w:rsid w:val="6B7024F1"/>
    <w:rsid w:val="6B7343A1"/>
    <w:rsid w:val="6B741E66"/>
    <w:rsid w:val="6B745550"/>
    <w:rsid w:val="6B756DA3"/>
    <w:rsid w:val="6B8637FE"/>
    <w:rsid w:val="6B963B16"/>
    <w:rsid w:val="6BA77061"/>
    <w:rsid w:val="6BAC20B0"/>
    <w:rsid w:val="6BBB231A"/>
    <w:rsid w:val="6BD02C8B"/>
    <w:rsid w:val="6BDB15BC"/>
    <w:rsid w:val="6BDB4E4F"/>
    <w:rsid w:val="6BF104CF"/>
    <w:rsid w:val="6C002757"/>
    <w:rsid w:val="6C060461"/>
    <w:rsid w:val="6C085F7E"/>
    <w:rsid w:val="6C0C0503"/>
    <w:rsid w:val="6C0D47BD"/>
    <w:rsid w:val="6C186D2A"/>
    <w:rsid w:val="6C215E63"/>
    <w:rsid w:val="6C264CF2"/>
    <w:rsid w:val="6C2B2308"/>
    <w:rsid w:val="6C3035BF"/>
    <w:rsid w:val="6C4206E9"/>
    <w:rsid w:val="6C4C5933"/>
    <w:rsid w:val="6C5513EA"/>
    <w:rsid w:val="6C636C38"/>
    <w:rsid w:val="6C6972D4"/>
    <w:rsid w:val="6C75322D"/>
    <w:rsid w:val="6C771B4C"/>
    <w:rsid w:val="6C771C4F"/>
    <w:rsid w:val="6CA57E98"/>
    <w:rsid w:val="6CA83A95"/>
    <w:rsid w:val="6CB07EFB"/>
    <w:rsid w:val="6CB71169"/>
    <w:rsid w:val="6CC004A5"/>
    <w:rsid w:val="6CCF5389"/>
    <w:rsid w:val="6CD25E08"/>
    <w:rsid w:val="6CD57142"/>
    <w:rsid w:val="6CDC2A6B"/>
    <w:rsid w:val="6CE40709"/>
    <w:rsid w:val="6CE50DB1"/>
    <w:rsid w:val="6CF529F2"/>
    <w:rsid w:val="6D064B23"/>
    <w:rsid w:val="6D1259E9"/>
    <w:rsid w:val="6D1F5D46"/>
    <w:rsid w:val="6D276982"/>
    <w:rsid w:val="6D276FBE"/>
    <w:rsid w:val="6D2D2BB1"/>
    <w:rsid w:val="6D315BA2"/>
    <w:rsid w:val="6D323580"/>
    <w:rsid w:val="6D33105C"/>
    <w:rsid w:val="6D3D707A"/>
    <w:rsid w:val="6D464F20"/>
    <w:rsid w:val="6D53776D"/>
    <w:rsid w:val="6D544AC4"/>
    <w:rsid w:val="6D591ED6"/>
    <w:rsid w:val="6D62681C"/>
    <w:rsid w:val="6D676767"/>
    <w:rsid w:val="6D752BE9"/>
    <w:rsid w:val="6D8A226A"/>
    <w:rsid w:val="6D8D145D"/>
    <w:rsid w:val="6D902FEB"/>
    <w:rsid w:val="6D941816"/>
    <w:rsid w:val="6D972642"/>
    <w:rsid w:val="6DAA4B4E"/>
    <w:rsid w:val="6DAF0D17"/>
    <w:rsid w:val="6DB34098"/>
    <w:rsid w:val="6DB545B6"/>
    <w:rsid w:val="6DBE53FE"/>
    <w:rsid w:val="6DDE15FC"/>
    <w:rsid w:val="6DE02FB4"/>
    <w:rsid w:val="6DE263A2"/>
    <w:rsid w:val="6DE73157"/>
    <w:rsid w:val="6DE82E4A"/>
    <w:rsid w:val="6DFD5C10"/>
    <w:rsid w:val="6E0526C2"/>
    <w:rsid w:val="6E102735"/>
    <w:rsid w:val="6E1103FF"/>
    <w:rsid w:val="6E113707"/>
    <w:rsid w:val="6E176E5F"/>
    <w:rsid w:val="6E184077"/>
    <w:rsid w:val="6E1C73F7"/>
    <w:rsid w:val="6E237ED2"/>
    <w:rsid w:val="6E241EF8"/>
    <w:rsid w:val="6E26547D"/>
    <w:rsid w:val="6E2E49F3"/>
    <w:rsid w:val="6E380D0C"/>
    <w:rsid w:val="6E421B8B"/>
    <w:rsid w:val="6E423C7E"/>
    <w:rsid w:val="6E4D52F7"/>
    <w:rsid w:val="6E514CED"/>
    <w:rsid w:val="6E5F44EB"/>
    <w:rsid w:val="6E69536A"/>
    <w:rsid w:val="6E813643"/>
    <w:rsid w:val="6E8464F3"/>
    <w:rsid w:val="6E8C1058"/>
    <w:rsid w:val="6E9028F6"/>
    <w:rsid w:val="6E9308D4"/>
    <w:rsid w:val="6E943D31"/>
    <w:rsid w:val="6E95615F"/>
    <w:rsid w:val="6E964AE6"/>
    <w:rsid w:val="6E9F3EB4"/>
    <w:rsid w:val="6EB563D5"/>
    <w:rsid w:val="6EC82790"/>
    <w:rsid w:val="6ECD6D79"/>
    <w:rsid w:val="6ED10099"/>
    <w:rsid w:val="6ED30E69"/>
    <w:rsid w:val="6ED75B18"/>
    <w:rsid w:val="6ED92677"/>
    <w:rsid w:val="6ED95E83"/>
    <w:rsid w:val="6EDB7958"/>
    <w:rsid w:val="6EE73580"/>
    <w:rsid w:val="6EE90259"/>
    <w:rsid w:val="6EEC09BD"/>
    <w:rsid w:val="6EF32E85"/>
    <w:rsid w:val="6F01465A"/>
    <w:rsid w:val="6F0E4675"/>
    <w:rsid w:val="6F152DFC"/>
    <w:rsid w:val="6F1F65C5"/>
    <w:rsid w:val="6F225983"/>
    <w:rsid w:val="6F251906"/>
    <w:rsid w:val="6F254569"/>
    <w:rsid w:val="6F257493"/>
    <w:rsid w:val="6F262DEC"/>
    <w:rsid w:val="6F2C610D"/>
    <w:rsid w:val="6F2C76C9"/>
    <w:rsid w:val="6F3408CC"/>
    <w:rsid w:val="6F3438DA"/>
    <w:rsid w:val="6F3C5208"/>
    <w:rsid w:val="6F3F1AE9"/>
    <w:rsid w:val="6F482437"/>
    <w:rsid w:val="6F563B40"/>
    <w:rsid w:val="6F570823"/>
    <w:rsid w:val="6F68540E"/>
    <w:rsid w:val="6F6E0E0E"/>
    <w:rsid w:val="6F8229DD"/>
    <w:rsid w:val="6F8671AA"/>
    <w:rsid w:val="6F87552D"/>
    <w:rsid w:val="6F8A419B"/>
    <w:rsid w:val="6F92337E"/>
    <w:rsid w:val="6F976C2B"/>
    <w:rsid w:val="6F9957DB"/>
    <w:rsid w:val="6F9976F0"/>
    <w:rsid w:val="6FAC3760"/>
    <w:rsid w:val="6FC00FB9"/>
    <w:rsid w:val="6FC266BE"/>
    <w:rsid w:val="6FCC795E"/>
    <w:rsid w:val="6FED4D41"/>
    <w:rsid w:val="6FEF2BB1"/>
    <w:rsid w:val="6FEF691C"/>
    <w:rsid w:val="6FF176F5"/>
    <w:rsid w:val="6FFC5590"/>
    <w:rsid w:val="6FFD0F9C"/>
    <w:rsid w:val="701E51BD"/>
    <w:rsid w:val="702465DF"/>
    <w:rsid w:val="702E507E"/>
    <w:rsid w:val="703E2B93"/>
    <w:rsid w:val="704C6CF1"/>
    <w:rsid w:val="70593033"/>
    <w:rsid w:val="70626BA0"/>
    <w:rsid w:val="70626CCC"/>
    <w:rsid w:val="706D1DD0"/>
    <w:rsid w:val="706F4486"/>
    <w:rsid w:val="707F3BF3"/>
    <w:rsid w:val="70856B87"/>
    <w:rsid w:val="70904E30"/>
    <w:rsid w:val="70A0082B"/>
    <w:rsid w:val="70A64653"/>
    <w:rsid w:val="70B0102E"/>
    <w:rsid w:val="70B7658C"/>
    <w:rsid w:val="70C0577D"/>
    <w:rsid w:val="70C1148D"/>
    <w:rsid w:val="70C25342"/>
    <w:rsid w:val="70C943D6"/>
    <w:rsid w:val="70CF7EFD"/>
    <w:rsid w:val="70D036E5"/>
    <w:rsid w:val="70D527EE"/>
    <w:rsid w:val="70E60960"/>
    <w:rsid w:val="70F05165"/>
    <w:rsid w:val="70F11B17"/>
    <w:rsid w:val="70F73101"/>
    <w:rsid w:val="71056223"/>
    <w:rsid w:val="71072B83"/>
    <w:rsid w:val="71172E64"/>
    <w:rsid w:val="712F71C3"/>
    <w:rsid w:val="71306A35"/>
    <w:rsid w:val="71366846"/>
    <w:rsid w:val="713D6113"/>
    <w:rsid w:val="714238D8"/>
    <w:rsid w:val="714E18A7"/>
    <w:rsid w:val="71533254"/>
    <w:rsid w:val="715B5300"/>
    <w:rsid w:val="71722E9B"/>
    <w:rsid w:val="71831D1C"/>
    <w:rsid w:val="718B7670"/>
    <w:rsid w:val="719046F2"/>
    <w:rsid w:val="719C0167"/>
    <w:rsid w:val="71A8408F"/>
    <w:rsid w:val="71B436A2"/>
    <w:rsid w:val="71B83D79"/>
    <w:rsid w:val="71C17F06"/>
    <w:rsid w:val="71CC0FE2"/>
    <w:rsid w:val="71D27F8A"/>
    <w:rsid w:val="71D3338E"/>
    <w:rsid w:val="71D65715"/>
    <w:rsid w:val="71D74A7B"/>
    <w:rsid w:val="71EB24AA"/>
    <w:rsid w:val="71F03F00"/>
    <w:rsid w:val="71FF0023"/>
    <w:rsid w:val="721626D5"/>
    <w:rsid w:val="72271C6E"/>
    <w:rsid w:val="722E53CE"/>
    <w:rsid w:val="7237695D"/>
    <w:rsid w:val="72381F8A"/>
    <w:rsid w:val="72383D0C"/>
    <w:rsid w:val="72465290"/>
    <w:rsid w:val="72553024"/>
    <w:rsid w:val="725E141A"/>
    <w:rsid w:val="72635614"/>
    <w:rsid w:val="726D0BDD"/>
    <w:rsid w:val="72894828"/>
    <w:rsid w:val="72923564"/>
    <w:rsid w:val="729B3B13"/>
    <w:rsid w:val="729B45B0"/>
    <w:rsid w:val="72A0395A"/>
    <w:rsid w:val="72A50FD7"/>
    <w:rsid w:val="72AD539E"/>
    <w:rsid w:val="72AD61EE"/>
    <w:rsid w:val="72B832BB"/>
    <w:rsid w:val="72BD0CAF"/>
    <w:rsid w:val="72EC797F"/>
    <w:rsid w:val="72F6486B"/>
    <w:rsid w:val="73042769"/>
    <w:rsid w:val="73122968"/>
    <w:rsid w:val="731B211D"/>
    <w:rsid w:val="731F5D5E"/>
    <w:rsid w:val="73207ABE"/>
    <w:rsid w:val="732C6966"/>
    <w:rsid w:val="733115A5"/>
    <w:rsid w:val="73341CF3"/>
    <w:rsid w:val="733537C1"/>
    <w:rsid w:val="73487C44"/>
    <w:rsid w:val="73607ECD"/>
    <w:rsid w:val="737451AF"/>
    <w:rsid w:val="73767CD7"/>
    <w:rsid w:val="7383162E"/>
    <w:rsid w:val="73870687"/>
    <w:rsid w:val="73886292"/>
    <w:rsid w:val="738A025C"/>
    <w:rsid w:val="73A352B6"/>
    <w:rsid w:val="73AE598C"/>
    <w:rsid w:val="73C51AD5"/>
    <w:rsid w:val="73C53001"/>
    <w:rsid w:val="73D30BCD"/>
    <w:rsid w:val="73D33598"/>
    <w:rsid w:val="73E84F83"/>
    <w:rsid w:val="73E8729D"/>
    <w:rsid w:val="73FF42AD"/>
    <w:rsid w:val="74077051"/>
    <w:rsid w:val="741E793C"/>
    <w:rsid w:val="74223642"/>
    <w:rsid w:val="742A32C2"/>
    <w:rsid w:val="74486296"/>
    <w:rsid w:val="744E7E89"/>
    <w:rsid w:val="74516834"/>
    <w:rsid w:val="74532135"/>
    <w:rsid w:val="74582310"/>
    <w:rsid w:val="745B7503"/>
    <w:rsid w:val="745E3944"/>
    <w:rsid w:val="745F647E"/>
    <w:rsid w:val="74693A0E"/>
    <w:rsid w:val="74733501"/>
    <w:rsid w:val="74752328"/>
    <w:rsid w:val="74781F20"/>
    <w:rsid w:val="747D4949"/>
    <w:rsid w:val="74850A92"/>
    <w:rsid w:val="74A25132"/>
    <w:rsid w:val="74A85B9B"/>
    <w:rsid w:val="74AC7D5E"/>
    <w:rsid w:val="74BC49E8"/>
    <w:rsid w:val="74EB6AD9"/>
    <w:rsid w:val="74FE5420"/>
    <w:rsid w:val="74FF5BA2"/>
    <w:rsid w:val="750A29EB"/>
    <w:rsid w:val="750B4830"/>
    <w:rsid w:val="751F12AB"/>
    <w:rsid w:val="75265D63"/>
    <w:rsid w:val="752E7D00"/>
    <w:rsid w:val="75357D54"/>
    <w:rsid w:val="753F5076"/>
    <w:rsid w:val="754B2588"/>
    <w:rsid w:val="755E3853"/>
    <w:rsid w:val="756248C1"/>
    <w:rsid w:val="757655F2"/>
    <w:rsid w:val="757F4A12"/>
    <w:rsid w:val="7580485B"/>
    <w:rsid w:val="758204BC"/>
    <w:rsid w:val="758600BA"/>
    <w:rsid w:val="7590744F"/>
    <w:rsid w:val="759129C4"/>
    <w:rsid w:val="75986535"/>
    <w:rsid w:val="75A225CF"/>
    <w:rsid w:val="75B24CE5"/>
    <w:rsid w:val="75BF17BE"/>
    <w:rsid w:val="75CA3E16"/>
    <w:rsid w:val="75CA57DC"/>
    <w:rsid w:val="75CD550F"/>
    <w:rsid w:val="75E43CD8"/>
    <w:rsid w:val="75EE5B12"/>
    <w:rsid w:val="75FF47B3"/>
    <w:rsid w:val="76056D35"/>
    <w:rsid w:val="760B3C26"/>
    <w:rsid w:val="761D65CD"/>
    <w:rsid w:val="7620778A"/>
    <w:rsid w:val="762A2939"/>
    <w:rsid w:val="762E5A44"/>
    <w:rsid w:val="7635099D"/>
    <w:rsid w:val="763F3CF2"/>
    <w:rsid w:val="764125B7"/>
    <w:rsid w:val="76486228"/>
    <w:rsid w:val="765C1E43"/>
    <w:rsid w:val="766F6CB9"/>
    <w:rsid w:val="767270F8"/>
    <w:rsid w:val="767E63B1"/>
    <w:rsid w:val="768175EE"/>
    <w:rsid w:val="7687718D"/>
    <w:rsid w:val="7689553A"/>
    <w:rsid w:val="768F5A67"/>
    <w:rsid w:val="769662E3"/>
    <w:rsid w:val="769B632D"/>
    <w:rsid w:val="769F35C1"/>
    <w:rsid w:val="76A42003"/>
    <w:rsid w:val="76AB532C"/>
    <w:rsid w:val="76AE31CF"/>
    <w:rsid w:val="76C03F95"/>
    <w:rsid w:val="76C3112C"/>
    <w:rsid w:val="76D0170F"/>
    <w:rsid w:val="76D37C2A"/>
    <w:rsid w:val="76D57A40"/>
    <w:rsid w:val="76D9278C"/>
    <w:rsid w:val="76E06765"/>
    <w:rsid w:val="76F25221"/>
    <w:rsid w:val="770046E4"/>
    <w:rsid w:val="772723DF"/>
    <w:rsid w:val="77341930"/>
    <w:rsid w:val="77351CE8"/>
    <w:rsid w:val="773A1B27"/>
    <w:rsid w:val="774410F1"/>
    <w:rsid w:val="77445EF3"/>
    <w:rsid w:val="77517F1C"/>
    <w:rsid w:val="775C50C7"/>
    <w:rsid w:val="776F3F7C"/>
    <w:rsid w:val="77762421"/>
    <w:rsid w:val="77770AF7"/>
    <w:rsid w:val="77794F13"/>
    <w:rsid w:val="7784343A"/>
    <w:rsid w:val="77894AF4"/>
    <w:rsid w:val="779E174A"/>
    <w:rsid w:val="77A15EEB"/>
    <w:rsid w:val="77A63E86"/>
    <w:rsid w:val="77AC2C97"/>
    <w:rsid w:val="77B56B1F"/>
    <w:rsid w:val="77B94C39"/>
    <w:rsid w:val="77BF5FFD"/>
    <w:rsid w:val="77C803EE"/>
    <w:rsid w:val="77D83280"/>
    <w:rsid w:val="77DA7F4F"/>
    <w:rsid w:val="77E50066"/>
    <w:rsid w:val="77EB3293"/>
    <w:rsid w:val="77F21C17"/>
    <w:rsid w:val="78025DB0"/>
    <w:rsid w:val="78027A68"/>
    <w:rsid w:val="78040BB5"/>
    <w:rsid w:val="78085CB6"/>
    <w:rsid w:val="780F09F4"/>
    <w:rsid w:val="78151B36"/>
    <w:rsid w:val="78154312"/>
    <w:rsid w:val="7819693D"/>
    <w:rsid w:val="781A4CD5"/>
    <w:rsid w:val="782B3690"/>
    <w:rsid w:val="78395DAD"/>
    <w:rsid w:val="784800C5"/>
    <w:rsid w:val="784907D0"/>
    <w:rsid w:val="785F7320"/>
    <w:rsid w:val="786A06D5"/>
    <w:rsid w:val="786A635D"/>
    <w:rsid w:val="786B43F3"/>
    <w:rsid w:val="78702461"/>
    <w:rsid w:val="7879264D"/>
    <w:rsid w:val="787F3226"/>
    <w:rsid w:val="78886D34"/>
    <w:rsid w:val="788C66B2"/>
    <w:rsid w:val="789722FA"/>
    <w:rsid w:val="789871E9"/>
    <w:rsid w:val="78A05E2C"/>
    <w:rsid w:val="78A15683"/>
    <w:rsid w:val="78A4076D"/>
    <w:rsid w:val="78A53CFB"/>
    <w:rsid w:val="78A82F32"/>
    <w:rsid w:val="78A90480"/>
    <w:rsid w:val="78BE0D19"/>
    <w:rsid w:val="78BF67F5"/>
    <w:rsid w:val="78CB247D"/>
    <w:rsid w:val="78D154FC"/>
    <w:rsid w:val="78DB4450"/>
    <w:rsid w:val="78F87A16"/>
    <w:rsid w:val="79005BED"/>
    <w:rsid w:val="79112886"/>
    <w:rsid w:val="7911503F"/>
    <w:rsid w:val="79144678"/>
    <w:rsid w:val="791D3456"/>
    <w:rsid w:val="79294BA1"/>
    <w:rsid w:val="792B2B33"/>
    <w:rsid w:val="792D607A"/>
    <w:rsid w:val="792F515F"/>
    <w:rsid w:val="79397A68"/>
    <w:rsid w:val="793F7A4E"/>
    <w:rsid w:val="794F59FD"/>
    <w:rsid w:val="7969048A"/>
    <w:rsid w:val="7969375C"/>
    <w:rsid w:val="796E740C"/>
    <w:rsid w:val="797B119D"/>
    <w:rsid w:val="7991110A"/>
    <w:rsid w:val="799A1D92"/>
    <w:rsid w:val="799A2705"/>
    <w:rsid w:val="79A436FA"/>
    <w:rsid w:val="79A96BD6"/>
    <w:rsid w:val="79BE62D7"/>
    <w:rsid w:val="79C4740A"/>
    <w:rsid w:val="79CA7BD9"/>
    <w:rsid w:val="79D4137D"/>
    <w:rsid w:val="79D62B86"/>
    <w:rsid w:val="7A00482E"/>
    <w:rsid w:val="7A056692"/>
    <w:rsid w:val="7A0A0217"/>
    <w:rsid w:val="7A0C6EF3"/>
    <w:rsid w:val="7A0D2A35"/>
    <w:rsid w:val="7A2C1C85"/>
    <w:rsid w:val="7A364017"/>
    <w:rsid w:val="7A4B6392"/>
    <w:rsid w:val="7A521A99"/>
    <w:rsid w:val="7A5569C1"/>
    <w:rsid w:val="7A5649EF"/>
    <w:rsid w:val="7A5A3E9E"/>
    <w:rsid w:val="7A807846"/>
    <w:rsid w:val="7A824954"/>
    <w:rsid w:val="7A8265E1"/>
    <w:rsid w:val="7A835285"/>
    <w:rsid w:val="7A8A6D94"/>
    <w:rsid w:val="7A9419C0"/>
    <w:rsid w:val="7A965738"/>
    <w:rsid w:val="7AAB65ED"/>
    <w:rsid w:val="7AC06311"/>
    <w:rsid w:val="7AC53027"/>
    <w:rsid w:val="7AC53ACD"/>
    <w:rsid w:val="7B062394"/>
    <w:rsid w:val="7B0B2E9E"/>
    <w:rsid w:val="7B153402"/>
    <w:rsid w:val="7B1D79B6"/>
    <w:rsid w:val="7B23215E"/>
    <w:rsid w:val="7B271162"/>
    <w:rsid w:val="7B2E524A"/>
    <w:rsid w:val="7B377D18"/>
    <w:rsid w:val="7B3E0437"/>
    <w:rsid w:val="7B4866B4"/>
    <w:rsid w:val="7B674676"/>
    <w:rsid w:val="7B686D42"/>
    <w:rsid w:val="7B76721A"/>
    <w:rsid w:val="7B8374D3"/>
    <w:rsid w:val="7B841746"/>
    <w:rsid w:val="7B882B74"/>
    <w:rsid w:val="7B993F09"/>
    <w:rsid w:val="7BA21CFD"/>
    <w:rsid w:val="7BB07E26"/>
    <w:rsid w:val="7BB422E1"/>
    <w:rsid w:val="7BBA35BD"/>
    <w:rsid w:val="7BC90D89"/>
    <w:rsid w:val="7BC978B1"/>
    <w:rsid w:val="7BE663A2"/>
    <w:rsid w:val="7BEB41C7"/>
    <w:rsid w:val="7BF22A03"/>
    <w:rsid w:val="7C027E71"/>
    <w:rsid w:val="7C110D93"/>
    <w:rsid w:val="7C151503"/>
    <w:rsid w:val="7C1C6A89"/>
    <w:rsid w:val="7C2271AE"/>
    <w:rsid w:val="7C242A4E"/>
    <w:rsid w:val="7C2712B6"/>
    <w:rsid w:val="7C372E98"/>
    <w:rsid w:val="7C3945CD"/>
    <w:rsid w:val="7C3949C4"/>
    <w:rsid w:val="7C5278BF"/>
    <w:rsid w:val="7C577B43"/>
    <w:rsid w:val="7C5807CC"/>
    <w:rsid w:val="7C633CF7"/>
    <w:rsid w:val="7C657392"/>
    <w:rsid w:val="7C675B08"/>
    <w:rsid w:val="7C6C5AC7"/>
    <w:rsid w:val="7C755A94"/>
    <w:rsid w:val="7C780777"/>
    <w:rsid w:val="7C7E582F"/>
    <w:rsid w:val="7C8034FA"/>
    <w:rsid w:val="7C8177CC"/>
    <w:rsid w:val="7C8410D5"/>
    <w:rsid w:val="7CA37C99"/>
    <w:rsid w:val="7CB63E0B"/>
    <w:rsid w:val="7CBC7F02"/>
    <w:rsid w:val="7CBE6C5F"/>
    <w:rsid w:val="7CC075EC"/>
    <w:rsid w:val="7CC145C3"/>
    <w:rsid w:val="7CC6544B"/>
    <w:rsid w:val="7CC93484"/>
    <w:rsid w:val="7CDB7433"/>
    <w:rsid w:val="7CDE5175"/>
    <w:rsid w:val="7CE07062"/>
    <w:rsid w:val="7CE51F5C"/>
    <w:rsid w:val="7CF84488"/>
    <w:rsid w:val="7D0239FF"/>
    <w:rsid w:val="7D1E1A15"/>
    <w:rsid w:val="7D2451EB"/>
    <w:rsid w:val="7D266A29"/>
    <w:rsid w:val="7D305450"/>
    <w:rsid w:val="7D326EE4"/>
    <w:rsid w:val="7D341239"/>
    <w:rsid w:val="7D366D5F"/>
    <w:rsid w:val="7D3D4B76"/>
    <w:rsid w:val="7D484239"/>
    <w:rsid w:val="7D4A26D8"/>
    <w:rsid w:val="7D4D555D"/>
    <w:rsid w:val="7D52346D"/>
    <w:rsid w:val="7D5B4A17"/>
    <w:rsid w:val="7D5E40CD"/>
    <w:rsid w:val="7D6134E6"/>
    <w:rsid w:val="7D6338A0"/>
    <w:rsid w:val="7D744580"/>
    <w:rsid w:val="7D77143E"/>
    <w:rsid w:val="7D847ACA"/>
    <w:rsid w:val="7D8D3963"/>
    <w:rsid w:val="7DAA743E"/>
    <w:rsid w:val="7DB33CD3"/>
    <w:rsid w:val="7DB60FC4"/>
    <w:rsid w:val="7DC3039A"/>
    <w:rsid w:val="7DCD56F2"/>
    <w:rsid w:val="7DD1451E"/>
    <w:rsid w:val="7DE45813"/>
    <w:rsid w:val="7DE5439B"/>
    <w:rsid w:val="7DE81D25"/>
    <w:rsid w:val="7DF12C86"/>
    <w:rsid w:val="7DF6701D"/>
    <w:rsid w:val="7DFC5ED8"/>
    <w:rsid w:val="7E074257"/>
    <w:rsid w:val="7E074A12"/>
    <w:rsid w:val="7E0935CE"/>
    <w:rsid w:val="7E0B01EB"/>
    <w:rsid w:val="7E132BFC"/>
    <w:rsid w:val="7E1D3874"/>
    <w:rsid w:val="7E263566"/>
    <w:rsid w:val="7E2A6CD8"/>
    <w:rsid w:val="7E2E3EDA"/>
    <w:rsid w:val="7E33329E"/>
    <w:rsid w:val="7E484F9C"/>
    <w:rsid w:val="7E4B4A8C"/>
    <w:rsid w:val="7E5D029C"/>
    <w:rsid w:val="7E663674"/>
    <w:rsid w:val="7E682C05"/>
    <w:rsid w:val="7E6C629C"/>
    <w:rsid w:val="7E7456E5"/>
    <w:rsid w:val="7E7974DF"/>
    <w:rsid w:val="7E7D1506"/>
    <w:rsid w:val="7E8630B6"/>
    <w:rsid w:val="7E991353"/>
    <w:rsid w:val="7EA07B80"/>
    <w:rsid w:val="7EAA3232"/>
    <w:rsid w:val="7ECB34D7"/>
    <w:rsid w:val="7ED860B3"/>
    <w:rsid w:val="7EDC5EB5"/>
    <w:rsid w:val="7EE435E6"/>
    <w:rsid w:val="7EE527EB"/>
    <w:rsid w:val="7EE5563A"/>
    <w:rsid w:val="7EF67561"/>
    <w:rsid w:val="7EFA086B"/>
    <w:rsid w:val="7F001CE7"/>
    <w:rsid w:val="7F0C134F"/>
    <w:rsid w:val="7F1A58FA"/>
    <w:rsid w:val="7F217397"/>
    <w:rsid w:val="7F2F770A"/>
    <w:rsid w:val="7F3504D0"/>
    <w:rsid w:val="7F376FF5"/>
    <w:rsid w:val="7F402581"/>
    <w:rsid w:val="7F407DA7"/>
    <w:rsid w:val="7F4A6AF1"/>
    <w:rsid w:val="7F523F8D"/>
    <w:rsid w:val="7F581999"/>
    <w:rsid w:val="7F5D620A"/>
    <w:rsid w:val="7F654A19"/>
    <w:rsid w:val="7F73429A"/>
    <w:rsid w:val="7F833EC2"/>
    <w:rsid w:val="7F8A15E4"/>
    <w:rsid w:val="7F8A4299"/>
    <w:rsid w:val="7F9C1493"/>
    <w:rsid w:val="7FA74BD0"/>
    <w:rsid w:val="7FA83C06"/>
    <w:rsid w:val="7FC064D5"/>
    <w:rsid w:val="7FC17526"/>
    <w:rsid w:val="7FC25956"/>
    <w:rsid w:val="7FD15F1E"/>
    <w:rsid w:val="7FD40138"/>
    <w:rsid w:val="7FDB0F77"/>
    <w:rsid w:val="7FDD34C2"/>
    <w:rsid w:val="7FE47E50"/>
    <w:rsid w:val="7FEF5CA3"/>
    <w:rsid w:val="7FF16376"/>
    <w:rsid w:val="7FF54CAF"/>
    <w:rsid w:val="7FF56A5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99"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qFormat="1"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autoRedefine/>
    <w:qFormat/>
    <w:locked/>
    <w:uiPriority w:val="0"/>
    <w:pPr>
      <w:keepNext/>
      <w:keepLines/>
      <w:spacing w:before="20" w:beforeLines="0" w:after="20" w:afterLines="0" w:line="560" w:lineRule="exact"/>
      <w:jc w:val="left"/>
      <w:outlineLvl w:val="1"/>
    </w:pPr>
    <w:rPr>
      <w:b/>
      <w:bCs/>
      <w:kern w:val="2"/>
      <w:sz w:val="28"/>
      <w:szCs w:val="28"/>
    </w:rPr>
  </w:style>
  <w:style w:type="paragraph" w:styleId="9">
    <w:name w:val="heading 3"/>
    <w:basedOn w:val="1"/>
    <w:next w:val="1"/>
    <w:autoRedefine/>
    <w:unhideWhenUsed/>
    <w:qFormat/>
    <w:locked/>
    <w:uiPriority w:val="0"/>
    <w:pPr>
      <w:keepNext/>
      <w:keepLines/>
      <w:spacing w:before="260" w:beforeLines="0" w:beforeAutospacing="0" w:after="260" w:afterLines="0" w:afterAutospacing="0" w:line="413" w:lineRule="auto"/>
      <w:outlineLvl w:val="2"/>
    </w:pPr>
    <w:rPr>
      <w:b/>
      <w:sz w:val="32"/>
    </w:rPr>
  </w:style>
  <w:style w:type="paragraph" w:styleId="10">
    <w:name w:val="heading 4"/>
    <w:basedOn w:val="1"/>
    <w:next w:val="1"/>
    <w:autoRedefine/>
    <w:qFormat/>
    <w:locked/>
    <w:uiPriority w:val="99"/>
    <w:pPr>
      <w:keepNext/>
      <w:keepLines/>
      <w:spacing w:line="376" w:lineRule="auto"/>
      <w:outlineLvl w:val="3"/>
    </w:pPr>
    <w:rPr>
      <w:rFonts w:ascii="Cambria" w:hAnsi="Cambria"/>
      <w:b/>
      <w:sz w:val="28"/>
      <w:szCs w:val="20"/>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2">
    <w:name w:val="Body Text Indent 2"/>
    <w:basedOn w:val="1"/>
    <w:next w:val="3"/>
    <w:qFormat/>
    <w:locked/>
    <w:uiPriority w:val="0"/>
    <w:pPr>
      <w:spacing w:after="120" w:line="480" w:lineRule="auto"/>
      <w:ind w:left="420"/>
    </w:pPr>
  </w:style>
  <w:style w:type="paragraph" w:styleId="3">
    <w:name w:val="Body Text First Indent 2"/>
    <w:basedOn w:val="4"/>
    <w:next w:val="1"/>
    <w:autoRedefine/>
    <w:qFormat/>
    <w:locked/>
    <w:uiPriority w:val="0"/>
    <w:pPr>
      <w:keepNext/>
      <w:spacing w:line="360" w:lineRule="auto"/>
      <w:ind w:firstLine="420" w:firstLineChars="200"/>
      <w:jc w:val="left"/>
      <w:outlineLvl w:val="0"/>
    </w:pPr>
    <w:rPr>
      <w:rFonts w:ascii="Arial" w:hAnsi="Arial" w:cs="Arial"/>
      <w:color w:val="000000"/>
      <w:sz w:val="28"/>
      <w:szCs w:val="28"/>
    </w:rPr>
  </w:style>
  <w:style w:type="paragraph" w:styleId="4">
    <w:name w:val="Body Text Indent"/>
    <w:basedOn w:val="1"/>
    <w:next w:val="5"/>
    <w:link w:val="49"/>
    <w:autoRedefine/>
    <w:qFormat/>
    <w:uiPriority w:val="0"/>
    <w:pPr>
      <w:spacing w:after="120"/>
      <w:ind w:left="420" w:leftChars="200"/>
    </w:pPr>
    <w:rPr>
      <w:kern w:val="0"/>
      <w:sz w:val="24"/>
      <w:szCs w:val="20"/>
    </w:rPr>
  </w:style>
  <w:style w:type="paragraph" w:customStyle="1" w:styleId="5">
    <w:name w:val="样式 正文文本缩进 + 行距: 1.5 倍行距"/>
    <w:basedOn w:val="6"/>
    <w:autoRedefine/>
    <w:qFormat/>
    <w:uiPriority w:val="0"/>
    <w:pPr>
      <w:spacing w:after="120" w:line="360" w:lineRule="auto"/>
      <w:ind w:left="90" w:leftChars="32" w:firstLine="560" w:firstLineChars="200"/>
    </w:pPr>
    <w:rPr>
      <w:rFonts w:cs="宋体"/>
      <w:sz w:val="24"/>
    </w:rPr>
  </w:style>
  <w:style w:type="paragraph" w:customStyle="1" w:styleId="6">
    <w:name w:val="Body Text Indent"/>
    <w:basedOn w:val="1"/>
    <w:next w:val="5"/>
    <w:qFormat/>
    <w:uiPriority w:val="0"/>
    <w:pPr>
      <w:spacing w:after="120" w:afterLines="0"/>
      <w:ind w:left="420" w:leftChars="200"/>
    </w:pPr>
    <w:rPr>
      <w:rFonts w:ascii="Times New Roman" w:hAnsi="Times New Roman" w:eastAsia="宋体"/>
      <w:sz w:val="24"/>
    </w:rPr>
  </w:style>
  <w:style w:type="paragraph" w:styleId="11">
    <w:name w:val="E-mail Signature"/>
    <w:basedOn w:val="1"/>
    <w:next w:val="1"/>
    <w:autoRedefine/>
    <w:unhideWhenUsed/>
    <w:qFormat/>
    <w:locked/>
    <w:uiPriority w:val="0"/>
    <w:pPr>
      <w:widowControl/>
      <w:jc w:val="center"/>
    </w:pPr>
    <w:rPr>
      <w:kern w:val="0"/>
      <w:sz w:val="18"/>
      <w:szCs w:val="24"/>
    </w:rPr>
  </w:style>
  <w:style w:type="paragraph" w:styleId="12">
    <w:name w:val="Normal Indent"/>
    <w:basedOn w:val="1"/>
    <w:next w:val="1"/>
    <w:autoRedefine/>
    <w:qFormat/>
    <w:locked/>
    <w:uiPriority w:val="0"/>
    <w:pPr>
      <w:spacing w:before="60" w:after="60" w:line="400" w:lineRule="exact"/>
      <w:ind w:firstLine="420" w:firstLineChars="200"/>
    </w:pPr>
    <w:rPr>
      <w:sz w:val="24"/>
      <w:szCs w:val="24"/>
    </w:rPr>
  </w:style>
  <w:style w:type="paragraph" w:styleId="13">
    <w:name w:val="annotation text"/>
    <w:basedOn w:val="1"/>
    <w:link w:val="48"/>
    <w:autoRedefine/>
    <w:semiHidden/>
    <w:qFormat/>
    <w:uiPriority w:val="0"/>
    <w:pPr>
      <w:jc w:val="left"/>
    </w:pPr>
    <w:rPr>
      <w:kern w:val="0"/>
      <w:sz w:val="24"/>
      <w:szCs w:val="20"/>
    </w:rPr>
  </w:style>
  <w:style w:type="paragraph" w:styleId="14">
    <w:name w:val="Salutation"/>
    <w:basedOn w:val="1"/>
    <w:next w:val="1"/>
    <w:autoRedefine/>
    <w:qFormat/>
    <w:locked/>
    <w:uiPriority w:val="0"/>
  </w:style>
  <w:style w:type="paragraph" w:styleId="15">
    <w:name w:val="Body Text"/>
    <w:basedOn w:val="1"/>
    <w:next w:val="16"/>
    <w:link w:val="46"/>
    <w:autoRedefine/>
    <w:qFormat/>
    <w:uiPriority w:val="0"/>
    <w:pPr>
      <w:widowControl/>
      <w:snapToGrid w:val="0"/>
      <w:spacing w:before="60" w:after="160" w:line="259" w:lineRule="auto"/>
      <w:ind w:right="113"/>
    </w:pPr>
    <w:rPr>
      <w:kern w:val="0"/>
      <w:sz w:val="18"/>
      <w:szCs w:val="20"/>
    </w:rPr>
  </w:style>
  <w:style w:type="paragraph" w:styleId="16">
    <w:name w:val="List Bullet 5"/>
    <w:basedOn w:val="1"/>
    <w:qFormat/>
    <w:locked/>
    <w:uiPriority w:val="0"/>
    <w:pPr>
      <w:numPr>
        <w:ilvl w:val="0"/>
        <w:numId w:val="1"/>
      </w:numPr>
    </w:pPr>
  </w:style>
  <w:style w:type="paragraph" w:styleId="17">
    <w:name w:val="List 2"/>
    <w:basedOn w:val="1"/>
    <w:qFormat/>
    <w:locked/>
    <w:uiPriority w:val="0"/>
    <w:pPr>
      <w:adjustRightInd w:val="0"/>
      <w:snapToGrid w:val="0"/>
      <w:spacing w:line="240" w:lineRule="auto"/>
      <w:jc w:val="center"/>
    </w:pPr>
    <w:rPr>
      <w:szCs w:val="20"/>
    </w:rPr>
  </w:style>
  <w:style w:type="paragraph" w:styleId="18">
    <w:name w:val="Plain Text"/>
    <w:basedOn w:val="1"/>
    <w:autoRedefine/>
    <w:qFormat/>
    <w:locked/>
    <w:uiPriority w:val="0"/>
    <w:rPr>
      <w:rFonts w:ascii="宋体" w:hAnsi="Courier New" w:cs="Courier New"/>
      <w:kern w:val="21"/>
      <w:szCs w:val="21"/>
    </w:rPr>
  </w:style>
  <w:style w:type="paragraph" w:styleId="19">
    <w:name w:val="Date"/>
    <w:basedOn w:val="1"/>
    <w:next w:val="1"/>
    <w:link w:val="50"/>
    <w:autoRedefine/>
    <w:qFormat/>
    <w:uiPriority w:val="0"/>
    <w:pPr>
      <w:ind w:left="100" w:leftChars="2500"/>
    </w:pPr>
    <w:rPr>
      <w:kern w:val="0"/>
      <w:sz w:val="24"/>
      <w:szCs w:val="20"/>
    </w:rPr>
  </w:style>
  <w:style w:type="paragraph" w:styleId="20">
    <w:name w:val="Balloon Text"/>
    <w:basedOn w:val="1"/>
    <w:link w:val="51"/>
    <w:autoRedefine/>
    <w:semiHidden/>
    <w:qFormat/>
    <w:uiPriority w:val="0"/>
    <w:rPr>
      <w:kern w:val="0"/>
      <w:sz w:val="18"/>
      <w:szCs w:val="20"/>
    </w:rPr>
  </w:style>
  <w:style w:type="paragraph" w:styleId="21">
    <w:name w:val="footer"/>
    <w:basedOn w:val="1"/>
    <w:link w:val="52"/>
    <w:autoRedefine/>
    <w:qFormat/>
    <w:uiPriority w:val="99"/>
    <w:pPr>
      <w:tabs>
        <w:tab w:val="center" w:pos="4153"/>
        <w:tab w:val="right" w:pos="8306"/>
      </w:tabs>
      <w:snapToGrid w:val="0"/>
      <w:jc w:val="left"/>
    </w:pPr>
    <w:rPr>
      <w:kern w:val="0"/>
      <w:sz w:val="18"/>
      <w:szCs w:val="20"/>
    </w:rPr>
  </w:style>
  <w:style w:type="paragraph" w:styleId="22">
    <w:name w:val="header"/>
    <w:basedOn w:val="1"/>
    <w:next w:val="1"/>
    <w:link w:val="53"/>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Body Text Indent 3"/>
    <w:basedOn w:val="1"/>
    <w:qFormat/>
    <w:locked/>
    <w:uiPriority w:val="99"/>
    <w:pPr>
      <w:spacing w:after="120"/>
      <w:ind w:left="420" w:leftChars="200"/>
    </w:pPr>
    <w:rPr>
      <w:kern w:val="0"/>
      <w:sz w:val="16"/>
      <w:szCs w:val="20"/>
    </w:rPr>
  </w:style>
  <w:style w:type="paragraph" w:styleId="24">
    <w:name w:val="Normal (Web)"/>
    <w:basedOn w:val="1"/>
    <w:link w:val="54"/>
    <w:autoRedefine/>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autoRedefine/>
    <w:qFormat/>
    <w:locked/>
    <w:uiPriority w:val="0"/>
    <w:pPr>
      <w:widowControl w:val="0"/>
      <w:adjustRightInd w:val="0"/>
      <w:snapToGrid w:val="0"/>
      <w:jc w:val="center"/>
      <w:outlineLvl w:val="0"/>
    </w:pPr>
    <w:rPr>
      <w:rFonts w:ascii="Times New Roman" w:hAnsi="Times New Roman" w:eastAsia="宋体" w:cs="Times New Roman"/>
      <w:b/>
      <w:bCs/>
      <w:sz w:val="24"/>
      <w:szCs w:val="32"/>
    </w:rPr>
  </w:style>
  <w:style w:type="paragraph" w:styleId="26">
    <w:name w:val="annotation subject"/>
    <w:basedOn w:val="13"/>
    <w:next w:val="13"/>
    <w:link w:val="55"/>
    <w:autoRedefine/>
    <w:semiHidden/>
    <w:qFormat/>
    <w:uiPriority w:val="0"/>
    <w:rPr>
      <w:b/>
      <w:sz w:val="24"/>
      <w:szCs w:val="20"/>
    </w:rPr>
  </w:style>
  <w:style w:type="paragraph" w:styleId="27">
    <w:name w:val="Body Text First Indent"/>
    <w:basedOn w:val="15"/>
    <w:autoRedefine/>
    <w:qFormat/>
    <w:locked/>
    <w:uiPriority w:val="0"/>
    <w:pPr>
      <w:spacing w:after="120"/>
      <w:ind w:firstLine="420" w:firstLineChars="100"/>
    </w:pPr>
    <w:rPr>
      <w:rFonts w:eastAsia="宋体"/>
      <w:sz w:val="21"/>
      <w:szCs w:val="20"/>
    </w:rPr>
  </w:style>
  <w:style w:type="table" w:styleId="29">
    <w:name w:val="Table Grid"/>
    <w:basedOn w:val="28"/>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locked/>
    <w:uiPriority w:val="0"/>
    <w:rPr>
      <w:b/>
    </w:rPr>
  </w:style>
  <w:style w:type="character" w:styleId="32">
    <w:name w:val="page number"/>
    <w:basedOn w:val="30"/>
    <w:autoRedefine/>
    <w:qFormat/>
    <w:locked/>
    <w:uiPriority w:val="0"/>
  </w:style>
  <w:style w:type="character" w:styleId="33">
    <w:name w:val="Emphasis"/>
    <w:basedOn w:val="30"/>
    <w:autoRedefine/>
    <w:qFormat/>
    <w:locked/>
    <w:uiPriority w:val="0"/>
    <w:rPr>
      <w:i/>
    </w:rPr>
  </w:style>
  <w:style w:type="character" w:styleId="34">
    <w:name w:val="Hyperlink"/>
    <w:autoRedefine/>
    <w:qFormat/>
    <w:locked/>
    <w:uiPriority w:val="99"/>
    <w:rPr>
      <w:rFonts w:ascii="宋体" w:cs="Times New Roman"/>
      <w:color w:val="666666"/>
      <w:sz w:val="32"/>
      <w:u w:val="none"/>
    </w:rPr>
  </w:style>
  <w:style w:type="character" w:styleId="35">
    <w:name w:val="annotation reference"/>
    <w:autoRedefine/>
    <w:semiHidden/>
    <w:qFormat/>
    <w:uiPriority w:val="0"/>
    <w:rPr>
      <w:sz w:val="21"/>
    </w:rPr>
  </w:style>
  <w:style w:type="paragraph" w:customStyle="1" w:styleId="36">
    <w:name w:val="Default"/>
    <w:basedOn w:val="37"/>
    <w:next w:val="1"/>
    <w:autoRedefine/>
    <w:qFormat/>
    <w:uiPriority w:val="0"/>
    <w:pPr>
      <w:widowControl w:val="0"/>
      <w:tabs>
        <w:tab w:val="left" w:pos="2760"/>
      </w:tabs>
      <w:autoSpaceDE w:val="0"/>
      <w:autoSpaceDN w:val="0"/>
      <w:adjustRightInd w:val="0"/>
      <w:spacing w:line="520" w:lineRule="exact"/>
      <w:ind w:firstLine="632" w:firstLineChars="200"/>
    </w:pPr>
    <w:rPr>
      <w:rFonts w:ascii="Times New Roman" w:hAnsi="Times New Roman" w:eastAsia="宋体" w:cs="隶书"/>
      <w:color w:val="000000"/>
      <w:sz w:val="24"/>
      <w:szCs w:val="24"/>
      <w:lang w:val="en-US" w:eastAsia="zh-CN" w:bidi="ar-SA"/>
    </w:rPr>
  </w:style>
  <w:style w:type="paragraph" w:customStyle="1" w:styleId="3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8">
    <w:name w:val="纯文本1"/>
    <w:basedOn w:val="1"/>
    <w:autoRedefine/>
    <w:qFormat/>
    <w:uiPriority w:val="0"/>
    <w:pPr>
      <w:tabs>
        <w:tab w:val="left" w:pos="2760"/>
      </w:tabs>
      <w:adjustRightInd w:val="0"/>
    </w:pPr>
    <w:rPr>
      <w:rFonts w:ascii="宋体" w:hAnsi="Courier New"/>
      <w:szCs w:val="20"/>
    </w:rPr>
  </w:style>
  <w:style w:type="paragraph" w:customStyle="1" w:styleId="39">
    <w:name w:val="样式 正文文本 + 首行缩进:  2 字符"/>
    <w:autoRedefine/>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customStyle="1" w:styleId="40">
    <w:name w:val="正文1"/>
    <w:basedOn w:val="12"/>
    <w:next w:val="41"/>
    <w:autoRedefine/>
    <w:qFormat/>
    <w:uiPriority w:val="99"/>
    <w:pPr>
      <w:adjustRightInd w:val="0"/>
      <w:snapToGrid w:val="0"/>
      <w:spacing w:line="360" w:lineRule="auto"/>
      <w:ind w:firstLine="586" w:firstLineChars="200"/>
      <w:textAlignment w:val="baseline"/>
    </w:pPr>
    <w:rPr>
      <w:rFonts w:ascii="宋体" w:hAnsi="宋体" w:cs="Arial"/>
      <w:b/>
      <w:bCs/>
      <w:color w:val="000000"/>
      <w:spacing w:val="6"/>
      <w:kern w:val="0"/>
      <w:sz w:val="28"/>
      <w:szCs w:val="28"/>
    </w:rPr>
  </w:style>
  <w:style w:type="paragraph" w:customStyle="1" w:styleId="41">
    <w:name w:val="样式 样式 正文缩进正文（首行缩进两字）正文2 + 首行缩进:  2 字符 + 首行缩进:  2 字符"/>
    <w:basedOn w:val="1"/>
    <w:autoRedefine/>
    <w:qFormat/>
    <w:uiPriority w:val="0"/>
    <w:pPr>
      <w:snapToGrid w:val="0"/>
      <w:spacing w:line="324" w:lineRule="auto"/>
      <w:ind w:firstLine="600"/>
    </w:pPr>
    <w:rPr>
      <w:rFonts w:ascii="Times New Roman" w:hAnsi="宋体" w:cs="宋体"/>
      <w:sz w:val="28"/>
      <w:szCs w:val="20"/>
    </w:rPr>
  </w:style>
  <w:style w:type="paragraph" w:customStyle="1" w:styleId="42">
    <w:name w:val="xl27"/>
    <w:basedOn w:val="1"/>
    <w:autoRedefine/>
    <w:qFormat/>
    <w:uiPriority w:val="0"/>
    <w:pPr>
      <w:widowControl/>
      <w:spacing w:before="100" w:beforeAutospacing="1" w:after="100" w:afterAutospacing="1"/>
      <w:jc w:val="center"/>
      <w:textAlignment w:val="center"/>
    </w:pPr>
    <w:rPr>
      <w:sz w:val="18"/>
      <w:szCs w:val="18"/>
    </w:rPr>
  </w:style>
  <w:style w:type="paragraph" w:customStyle="1" w:styleId="43">
    <w:name w:val="1 表头"/>
    <w:basedOn w:val="12"/>
    <w:autoRedefine/>
    <w:qFormat/>
    <w:uiPriority w:val="0"/>
    <w:pPr>
      <w:adjustRightInd w:val="0"/>
      <w:snapToGrid w:val="0"/>
      <w:spacing w:line="240" w:lineRule="auto"/>
      <w:ind w:firstLine="0" w:firstLineChars="0"/>
      <w:jc w:val="center"/>
    </w:pPr>
    <w:rPr>
      <w:b/>
      <w:color w:val="000000"/>
      <w:sz w:val="21"/>
      <w:szCs w:val="21"/>
    </w:rPr>
  </w:style>
  <w:style w:type="paragraph" w:customStyle="1" w:styleId="44">
    <w:name w:val="默认段落"/>
    <w:basedOn w:val="1"/>
    <w:link w:val="47"/>
    <w:autoRedefine/>
    <w:qFormat/>
    <w:uiPriority w:val="0"/>
    <w:rPr>
      <w:sz w:val="24"/>
      <w:szCs w:val="24"/>
    </w:rPr>
  </w:style>
  <w:style w:type="paragraph" w:customStyle="1" w:styleId="45">
    <w:name w:val="样式 小四 行距: 1.5 倍行距"/>
    <w:basedOn w:val="1"/>
    <w:autoRedefine/>
    <w:qFormat/>
    <w:uiPriority w:val="0"/>
    <w:pPr>
      <w:ind w:firstLine="480" w:firstLineChars="200"/>
    </w:pPr>
    <w:rPr>
      <w:rFonts w:hint="default" w:cs="宋体"/>
    </w:rPr>
  </w:style>
  <w:style w:type="character" w:customStyle="1" w:styleId="46">
    <w:name w:val="正文文本 Char"/>
    <w:link w:val="15"/>
    <w:autoRedefine/>
    <w:qFormat/>
    <w:locked/>
    <w:uiPriority w:val="0"/>
    <w:rPr>
      <w:sz w:val="18"/>
    </w:rPr>
  </w:style>
  <w:style w:type="character" w:customStyle="1" w:styleId="47">
    <w:name w:val="默认段落 Char"/>
    <w:link w:val="44"/>
    <w:autoRedefine/>
    <w:qFormat/>
    <w:uiPriority w:val="0"/>
    <w:rPr>
      <w:sz w:val="24"/>
      <w:szCs w:val="24"/>
    </w:rPr>
  </w:style>
  <w:style w:type="character" w:customStyle="1" w:styleId="48">
    <w:name w:val="批注文字 Char"/>
    <w:link w:val="13"/>
    <w:autoRedefine/>
    <w:qFormat/>
    <w:locked/>
    <w:uiPriority w:val="0"/>
    <w:rPr>
      <w:rFonts w:ascii="Times New Roman" w:hAnsi="Times New Roman" w:eastAsia="宋体"/>
      <w:sz w:val="24"/>
    </w:rPr>
  </w:style>
  <w:style w:type="character" w:customStyle="1" w:styleId="49">
    <w:name w:val="正文文本缩进 Char"/>
    <w:link w:val="4"/>
    <w:autoRedefine/>
    <w:semiHidden/>
    <w:qFormat/>
    <w:locked/>
    <w:uiPriority w:val="0"/>
    <w:rPr>
      <w:rFonts w:ascii="Times New Roman" w:hAnsi="Times New Roman" w:eastAsia="宋体"/>
      <w:sz w:val="24"/>
    </w:rPr>
  </w:style>
  <w:style w:type="character" w:customStyle="1" w:styleId="50">
    <w:name w:val="日期 Char"/>
    <w:link w:val="19"/>
    <w:autoRedefine/>
    <w:qFormat/>
    <w:locked/>
    <w:uiPriority w:val="0"/>
    <w:rPr>
      <w:rFonts w:ascii="Times New Roman" w:hAnsi="Times New Roman" w:eastAsia="宋体"/>
      <w:sz w:val="24"/>
    </w:rPr>
  </w:style>
  <w:style w:type="character" w:customStyle="1" w:styleId="51">
    <w:name w:val="批注框文本 Char"/>
    <w:link w:val="20"/>
    <w:autoRedefine/>
    <w:semiHidden/>
    <w:qFormat/>
    <w:locked/>
    <w:uiPriority w:val="0"/>
    <w:rPr>
      <w:rFonts w:ascii="Times New Roman" w:hAnsi="Times New Roman" w:eastAsia="宋体"/>
      <w:sz w:val="18"/>
    </w:rPr>
  </w:style>
  <w:style w:type="character" w:customStyle="1" w:styleId="52">
    <w:name w:val="页脚 Char"/>
    <w:link w:val="21"/>
    <w:autoRedefine/>
    <w:qFormat/>
    <w:locked/>
    <w:uiPriority w:val="99"/>
    <w:rPr>
      <w:sz w:val="18"/>
    </w:rPr>
  </w:style>
  <w:style w:type="character" w:customStyle="1" w:styleId="53">
    <w:name w:val="页眉 Char"/>
    <w:link w:val="22"/>
    <w:autoRedefine/>
    <w:qFormat/>
    <w:locked/>
    <w:uiPriority w:val="0"/>
    <w:rPr>
      <w:sz w:val="18"/>
    </w:rPr>
  </w:style>
  <w:style w:type="character" w:customStyle="1" w:styleId="54">
    <w:name w:val="普通(网站) Char"/>
    <w:link w:val="24"/>
    <w:autoRedefine/>
    <w:qFormat/>
    <w:locked/>
    <w:uiPriority w:val="0"/>
    <w:rPr>
      <w:rFonts w:ascii="宋体" w:hAnsi="宋体" w:eastAsia="宋体"/>
      <w:sz w:val="24"/>
    </w:rPr>
  </w:style>
  <w:style w:type="character" w:customStyle="1" w:styleId="55">
    <w:name w:val="批注主题 Char"/>
    <w:link w:val="26"/>
    <w:autoRedefine/>
    <w:semiHidden/>
    <w:qFormat/>
    <w:locked/>
    <w:uiPriority w:val="0"/>
    <w:rPr>
      <w:rFonts w:ascii="Times New Roman" w:hAnsi="Times New Roman" w:eastAsia="宋体"/>
      <w:b/>
      <w:kern w:val="2"/>
      <w:sz w:val="24"/>
    </w:rPr>
  </w:style>
  <w:style w:type="character" w:customStyle="1" w:styleId="56">
    <w:name w:val="正文文本 字符1"/>
    <w:autoRedefine/>
    <w:semiHidden/>
    <w:qFormat/>
    <w:uiPriority w:val="0"/>
    <w:rPr>
      <w:rFonts w:ascii="Times New Roman" w:hAnsi="Times New Roman" w:eastAsia="宋体"/>
      <w:sz w:val="24"/>
    </w:rPr>
  </w:style>
  <w:style w:type="character" w:customStyle="1" w:styleId="57">
    <w:name w:val="批注文字 字符1"/>
    <w:autoRedefine/>
    <w:semiHidden/>
    <w:qFormat/>
    <w:uiPriority w:val="0"/>
    <w:rPr>
      <w:rFonts w:ascii="Times New Roman" w:hAnsi="Times New Roman" w:eastAsia="宋体"/>
      <w:sz w:val="24"/>
    </w:rPr>
  </w:style>
  <w:style w:type="character" w:customStyle="1" w:styleId="58">
    <w:name w:val="日期 字符"/>
    <w:autoRedefine/>
    <w:semiHidden/>
    <w:qFormat/>
    <w:uiPriority w:val="0"/>
    <w:rPr>
      <w:rFonts w:ascii="Times New Roman" w:hAnsi="Times New Roman" w:eastAsia="宋体"/>
      <w:sz w:val="24"/>
    </w:rPr>
  </w:style>
  <w:style w:type="character" w:customStyle="1" w:styleId="59">
    <w:name w:val="表格 Char"/>
    <w:link w:val="60"/>
    <w:autoRedefine/>
    <w:qFormat/>
    <w:locked/>
    <w:uiPriority w:val="0"/>
    <w:rPr>
      <w:rFonts w:ascii="宋体"/>
      <w:sz w:val="21"/>
    </w:rPr>
  </w:style>
  <w:style w:type="paragraph" w:customStyle="1" w:styleId="60">
    <w:name w:val="表格"/>
    <w:basedOn w:val="12"/>
    <w:next w:val="1"/>
    <w:link w:val="59"/>
    <w:autoRedefine/>
    <w:qFormat/>
    <w:uiPriority w:val="0"/>
    <w:pPr>
      <w:adjustRightInd w:val="0"/>
      <w:snapToGrid w:val="0"/>
      <w:spacing w:beforeLines="10" w:afterLines="10" w:line="259" w:lineRule="auto"/>
      <w:jc w:val="center"/>
    </w:pPr>
    <w:rPr>
      <w:rFonts w:ascii="宋体"/>
      <w:kern w:val="0"/>
      <w:szCs w:val="20"/>
    </w:rPr>
  </w:style>
  <w:style w:type="character" w:customStyle="1" w:styleId="61">
    <w:name w:val="页脚 字符"/>
    <w:basedOn w:val="30"/>
    <w:autoRedefine/>
    <w:qFormat/>
    <w:uiPriority w:val="99"/>
  </w:style>
  <w:style w:type="paragraph" w:customStyle="1" w:styleId="62">
    <w:name w:val="样式5"/>
    <w:basedOn w:val="40"/>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6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表格内"/>
    <w:basedOn w:val="1"/>
    <w:autoRedefine/>
    <w:qFormat/>
    <w:uiPriority w:val="0"/>
    <w:pPr>
      <w:widowControl/>
      <w:adjustRightInd w:val="0"/>
      <w:snapToGrid w:val="0"/>
      <w:jc w:val="center"/>
    </w:pPr>
    <w:rPr>
      <w:rFonts w:ascii="Times New Roman"/>
      <w:sz w:val="21"/>
    </w:rPr>
  </w:style>
  <w:style w:type="paragraph" w:customStyle="1" w:styleId="66">
    <w:name w:val="样式 标题 4 + 宋体 行距: 固定值 25 磅"/>
    <w:basedOn w:val="10"/>
    <w:autoRedefine/>
    <w:qFormat/>
    <w:uiPriority w:val="0"/>
    <w:pPr>
      <w:spacing w:before="60" w:beforeLines="0" w:after="60" w:afterLines="0" w:line="460" w:lineRule="exact"/>
    </w:pPr>
    <w:rPr>
      <w:rFonts w:ascii="宋体" w:hAnsi="宋体" w:eastAsia="宋体" w:cs="宋体"/>
      <w:kern w:val="0"/>
      <w:szCs w:val="20"/>
    </w:rPr>
  </w:style>
  <w:style w:type="paragraph" w:customStyle="1" w:styleId="67">
    <w:name w:val="Table Paragraph"/>
    <w:basedOn w:val="1"/>
    <w:autoRedefine/>
    <w:qFormat/>
    <w:uiPriority w:val="1"/>
    <w:pPr>
      <w:jc w:val="center"/>
    </w:pPr>
    <w:rPr>
      <w:rFonts w:ascii="宋体" w:hAnsi="宋体" w:eastAsia="宋体" w:cs="宋体"/>
      <w:lang w:val="zh-CN" w:eastAsia="zh-CN" w:bidi="zh-CN"/>
    </w:rPr>
  </w:style>
  <w:style w:type="paragraph" w:customStyle="1" w:styleId="68">
    <w:name w:val="【表中文字】"/>
    <w:basedOn w:val="1"/>
    <w:autoRedefine/>
    <w:qFormat/>
    <w:uiPriority w:val="0"/>
    <w:pPr>
      <w:adjustRightInd/>
      <w:snapToGrid/>
      <w:spacing w:line="240" w:lineRule="auto"/>
      <w:ind w:firstLine="0" w:firstLineChars="0"/>
      <w:jc w:val="center"/>
    </w:pPr>
    <w:rPr>
      <w:sz w:val="21"/>
      <w:lang w:val="zh-CN"/>
    </w:rPr>
  </w:style>
  <w:style w:type="paragraph" w:customStyle="1" w:styleId="69">
    <w:name w:val="表内文字"/>
    <w:basedOn w:val="1"/>
    <w:autoRedefine/>
    <w:qFormat/>
    <w:uiPriority w:val="0"/>
    <w:pPr>
      <w:jc w:val="center"/>
    </w:pPr>
    <w:rPr>
      <w:rFonts w:eastAsia="宋体" w:cs="Times New Roman"/>
      <w:szCs w:val="21"/>
    </w:rPr>
  </w:style>
  <w:style w:type="paragraph" w:customStyle="1" w:styleId="70">
    <w:name w:val="Date1"/>
    <w:basedOn w:val="1"/>
    <w:next w:val="1"/>
    <w:autoRedefine/>
    <w:qFormat/>
    <w:uiPriority w:val="0"/>
    <w:rPr>
      <w:sz w:val="21"/>
      <w:szCs w:val="20"/>
    </w:rPr>
  </w:style>
  <w:style w:type="paragraph" w:customStyle="1" w:styleId="71">
    <w:name w:val="陆晶 正文"/>
    <w:basedOn w:val="1"/>
    <w:autoRedefine/>
    <w:qFormat/>
    <w:uiPriority w:val="0"/>
    <w:pPr>
      <w:tabs>
        <w:tab w:val="left" w:pos="5580"/>
      </w:tabs>
      <w:spacing w:line="360" w:lineRule="auto"/>
      <w:jc w:val="left"/>
    </w:pPr>
    <w:rPr>
      <w:rFonts w:eastAsia="Times New Roman"/>
      <w:spacing w:val="6"/>
      <w:sz w:val="24"/>
      <w:lang w:val="zh-CN"/>
    </w:rPr>
  </w:style>
  <w:style w:type="paragraph" w:customStyle="1" w:styleId="72">
    <w:name w:val="表头、图号"/>
    <w:basedOn w:val="1"/>
    <w:autoRedefine/>
    <w:qFormat/>
    <w:uiPriority w:val="0"/>
    <w:pPr>
      <w:spacing w:beforeLines="10" w:afterLines="10"/>
      <w:ind w:firstLine="0" w:firstLineChars="0"/>
      <w:jc w:val="center"/>
    </w:pPr>
    <w:rPr>
      <w:rFonts w:eastAsia="黑体"/>
    </w:rPr>
  </w:style>
  <w:style w:type="paragraph" w:styleId="73">
    <w:name w:val="List Paragraph"/>
    <w:basedOn w:val="1"/>
    <w:autoRedefine/>
    <w:qFormat/>
    <w:uiPriority w:val="1"/>
    <w:pPr>
      <w:spacing w:before="175"/>
      <w:ind w:left="2222" w:hanging="303"/>
    </w:pPr>
    <w:rPr>
      <w:rFonts w:ascii="宋体" w:hAnsi="宋体" w:eastAsia="宋体" w:cs="宋体"/>
      <w:lang w:val="zh-CN" w:eastAsia="zh-CN" w:bidi="zh-CN"/>
    </w:rPr>
  </w:style>
  <w:style w:type="paragraph" w:customStyle="1" w:styleId="74">
    <w:name w:val="缩进"/>
    <w:basedOn w:val="1"/>
    <w:autoRedefine/>
    <w:qFormat/>
    <w:uiPriority w:val="0"/>
    <w:pPr>
      <w:ind w:firstLine="200" w:firstLineChars="200"/>
    </w:pPr>
    <w:rPr>
      <w:kern w:val="2"/>
      <w:sz w:val="24"/>
      <w:szCs w:val="24"/>
    </w:rPr>
  </w:style>
  <w:style w:type="paragraph" w:customStyle="1" w:styleId="75">
    <w:name w:val="【正文】"/>
    <w:basedOn w:val="1"/>
    <w:autoRedefine/>
    <w:qFormat/>
    <w:uiPriority w:val="0"/>
    <w:pPr>
      <w:adjustRightInd/>
      <w:snapToGrid/>
      <w:spacing w:line="500" w:lineRule="exact"/>
    </w:pPr>
  </w:style>
  <w:style w:type="paragraph" w:customStyle="1" w:styleId="76">
    <w:name w:val="陈正文"/>
    <w:basedOn w:val="1"/>
    <w:autoRedefine/>
    <w:qFormat/>
    <w:uiPriority w:val="0"/>
    <w:pPr>
      <w:snapToGrid w:val="0"/>
      <w:spacing w:line="360" w:lineRule="auto"/>
      <w:ind w:firstLine="200" w:firstLineChars="200"/>
    </w:pPr>
    <w:rPr>
      <w:rFonts w:ascii="宋体" w:hAnsi="宋体"/>
      <w:kern w:val="0"/>
      <w:sz w:val="24"/>
    </w:rPr>
  </w:style>
  <w:style w:type="table" w:customStyle="1" w:styleId="77">
    <w:name w:val="[表格样式]"/>
    <w:basedOn w:val="28"/>
    <w:autoRedefine/>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78">
    <w:name w:val="表格内容"/>
    <w:basedOn w:val="79"/>
    <w:next w:val="18"/>
    <w:autoRedefine/>
    <w:qFormat/>
    <w:uiPriority w:val="0"/>
    <w:pPr>
      <w:tabs>
        <w:tab w:val="left" w:pos="0"/>
      </w:tabs>
      <w:jc w:val="center"/>
    </w:pPr>
    <w:rPr>
      <w:rFonts w:ascii="宋体" w:hAnsi="Times New Roman"/>
      <w:szCs w:val="20"/>
    </w:rPr>
  </w:style>
  <w:style w:type="paragraph" w:customStyle="1" w:styleId="79">
    <w:name w:val="表格内文字"/>
    <w:basedOn w:val="1"/>
    <w:autoRedefine/>
    <w:qFormat/>
    <w:uiPriority w:val="0"/>
    <w:pPr>
      <w:tabs>
        <w:tab w:val="left" w:pos="0"/>
      </w:tabs>
      <w:adjustRightInd w:val="0"/>
      <w:snapToGrid w:val="0"/>
      <w:jc w:val="center"/>
    </w:pPr>
    <w:rPr>
      <w:rFonts w:eastAsia="仿宋_GB2312"/>
      <w:kern w:val="2"/>
      <w:sz w:val="24"/>
      <w:szCs w:val="28"/>
      <w:lang w:val="en-US" w:eastAsia="zh-CN" w:bidi="ar-SA"/>
    </w:rPr>
  </w:style>
  <w:style w:type="table" w:customStyle="1" w:styleId="80">
    <w:name w:val="Table Normal"/>
    <w:autoRedefine/>
    <w:unhideWhenUsed/>
    <w:qFormat/>
    <w:uiPriority w:val="0"/>
    <w:tblPr>
      <w:tblCellMar>
        <w:top w:w="0" w:type="dxa"/>
        <w:left w:w="0" w:type="dxa"/>
        <w:bottom w:w="0" w:type="dxa"/>
        <w:right w:w="0" w:type="dxa"/>
      </w:tblCellMar>
    </w:tblPr>
  </w:style>
  <w:style w:type="paragraph" w:customStyle="1" w:styleId="81">
    <w:name w:val="正文2"/>
    <w:basedOn w:val="1"/>
    <w:autoRedefine/>
    <w:qFormat/>
    <w:uiPriority w:val="0"/>
    <w:pPr>
      <w:spacing w:line="360" w:lineRule="auto"/>
      <w:ind w:firstLine="200" w:firstLineChars="200"/>
    </w:pPr>
    <w:rPr>
      <w:rFonts w:ascii="Times New Roman" w:hAnsi="Times New Roman"/>
    </w:rPr>
  </w:style>
  <w:style w:type="paragraph" w:customStyle="1" w:styleId="82">
    <w:name w:val="标题3"/>
    <w:basedOn w:val="9"/>
    <w:autoRedefine/>
    <w:qFormat/>
    <w:uiPriority w:val="0"/>
    <w:pPr>
      <w:adjustRightInd w:val="0"/>
      <w:snapToGrid w:val="0"/>
      <w:spacing w:line="360" w:lineRule="auto"/>
    </w:pPr>
    <w:rPr>
      <w:rFonts w:ascii="Times New Roman" w:hAnsi="Times New Roman"/>
      <w:sz w:val="28"/>
      <w:szCs w:val="28"/>
    </w:rPr>
  </w:style>
  <w:style w:type="paragraph" w:customStyle="1" w:styleId="83">
    <w:name w:val="Char1"/>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0"/>
      <w:lang w:val="en-US" w:eastAsia="zh-CN" w:bidi="ar-SA"/>
    </w:rPr>
  </w:style>
  <w:style w:type="paragraph" w:customStyle="1" w:styleId="84">
    <w:name w:val="Table Text"/>
    <w:basedOn w:val="1"/>
    <w:autoRedefine/>
    <w:semiHidden/>
    <w:qFormat/>
    <w:uiPriority w:val="0"/>
    <w:rPr>
      <w:rFonts w:ascii="宋体" w:hAnsi="宋体" w:eastAsia="宋体" w:cs="宋体"/>
      <w:sz w:val="22"/>
      <w:szCs w:val="22"/>
      <w:lang w:val="en-US" w:eastAsia="en-US" w:bidi="ar-SA"/>
    </w:rPr>
  </w:style>
  <w:style w:type="paragraph" w:customStyle="1" w:styleId="85">
    <w:name w:val="样式4"/>
    <w:basedOn w:val="1"/>
    <w:autoRedefine/>
    <w:qFormat/>
    <w:uiPriority w:val="0"/>
    <w:pPr>
      <w:spacing w:line="360" w:lineRule="auto"/>
      <w:ind w:firstLine="200" w:firstLineChars="200"/>
    </w:pPr>
    <w:rPr>
      <w:rFonts w:eastAsia="仿宋_GB2312"/>
      <w:kern w:val="32"/>
      <w:sz w:val="24"/>
      <w:szCs w:val="32"/>
    </w:rPr>
  </w:style>
  <w:style w:type="paragraph" w:customStyle="1" w:styleId="86">
    <w:name w:val="报告表正文"/>
    <w:basedOn w:val="1"/>
    <w:autoRedefine/>
    <w:qFormat/>
    <w:uiPriority w:val="0"/>
    <w:pPr>
      <w:spacing w:line="360" w:lineRule="auto"/>
      <w:ind w:firstLine="720" w:firstLineChars="200"/>
      <w:jc w:val="left"/>
    </w:pPr>
    <w:rPr>
      <w:sz w:val="24"/>
    </w:rPr>
  </w:style>
  <w:style w:type="paragraph" w:customStyle="1" w:styleId="87">
    <w:name w:val="填表样式"/>
    <w:basedOn w:val="1"/>
    <w:autoRedefine/>
    <w:qFormat/>
    <w:uiPriority w:val="0"/>
    <w:pPr>
      <w:adjustRightInd w:val="0"/>
      <w:snapToGrid w:val="0"/>
      <w:spacing w:line="360" w:lineRule="auto"/>
      <w:ind w:firstLine="720" w:firstLineChars="200"/>
    </w:pPr>
    <w:rPr>
      <w:rFonts w:ascii="Times New Roman" w:hAnsi="Times New Roman"/>
    </w:rPr>
  </w:style>
  <w:style w:type="paragraph" w:customStyle="1" w:styleId="88">
    <w:name w:val="报告正文"/>
    <w:basedOn w:val="1"/>
    <w:autoRedefine/>
    <w:qFormat/>
    <w:uiPriority w:val="0"/>
    <w:rPr>
      <w:rFonts w:cs="宋体"/>
      <w:szCs w:val="21"/>
    </w:rPr>
  </w:style>
  <w:style w:type="paragraph" w:customStyle="1" w:styleId="89">
    <w:name w:val="样式 表格内 + Times New Roman 小四 自定义颜色(RGB(5151255)) 两端对齐 行距: 1..."/>
    <w:basedOn w:val="65"/>
    <w:autoRedefine/>
    <w:qFormat/>
    <w:uiPriority w:val="0"/>
    <w:pPr>
      <w:spacing w:line="240" w:lineRule="auto"/>
      <w:jc w:val="both"/>
    </w:pPr>
    <w:rPr>
      <w:rFonts w:ascii="Times New Roman" w:cs="宋体"/>
      <w:sz w:val="21"/>
      <w:szCs w:val="20"/>
    </w:rPr>
  </w:style>
  <w:style w:type="paragraph" w:customStyle="1" w:styleId="90">
    <w:name w:val="正文(首行缩进)"/>
    <w:basedOn w:val="1"/>
    <w:next w:val="1"/>
    <w:autoRedefine/>
    <w:unhideWhenUsed/>
    <w:qFormat/>
    <w:uiPriority w:val="0"/>
    <w:pPr>
      <w:spacing w:beforeLines="0" w:afterLines="0" w:line="360" w:lineRule="auto"/>
      <w:ind w:firstLine="540" w:firstLineChars="225"/>
    </w:pPr>
    <w:rPr>
      <w:rFonts w:hint="default"/>
      <w:snapToGrid w:val="0"/>
      <w:color w:val="000000"/>
      <w:sz w:val="24"/>
    </w:rPr>
  </w:style>
  <w:style w:type="paragraph" w:customStyle="1" w:styleId="91">
    <w:name w:val="正文A"/>
    <w:basedOn w:val="92"/>
    <w:qFormat/>
    <w:uiPriority w:val="0"/>
    <w:rPr>
      <w:rFonts w:ascii="Times New Roman" w:hAnsi="Times New Roman" w:eastAsia="宋体"/>
    </w:rPr>
  </w:style>
  <w:style w:type="paragraph" w:customStyle="1" w:styleId="92">
    <w:name w:val="正文!!!!!!!!!!!"/>
    <w:basedOn w:val="93"/>
    <w:qFormat/>
    <w:uiPriority w:val="0"/>
    <w:pPr>
      <w:ind w:firstLine="480"/>
    </w:pPr>
    <w:rPr>
      <w:rFonts w:ascii="华文仿宋" w:hAnsi="华文仿宋" w:eastAsia="华文仿宋" w:cs="华文仿宋"/>
    </w:rPr>
  </w:style>
  <w:style w:type="paragraph" w:customStyle="1" w:styleId="93">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94">
    <w:name w:val="样式 首行缩进:  2 字符"/>
    <w:basedOn w:val="1"/>
    <w:autoRedefine/>
    <w:qFormat/>
    <w:uiPriority w:val="0"/>
    <w:pPr>
      <w:ind w:firstLine="568"/>
    </w:pPr>
    <w:rPr>
      <w:rFonts w:cs="宋体"/>
      <w:spacing w:val="2"/>
      <w:szCs w:val="20"/>
    </w:rPr>
  </w:style>
  <w:style w:type="paragraph" w:customStyle="1" w:styleId="95">
    <w:name w:val="Body text|1"/>
    <w:basedOn w:val="1"/>
    <w:qFormat/>
    <w:uiPriority w:val="0"/>
    <w:pPr>
      <w:widowControl w:val="0"/>
      <w:shd w:val="clear" w:color="auto" w:fill="auto"/>
      <w:spacing w:line="264" w:lineRule="auto"/>
    </w:pPr>
    <w:rPr>
      <w:rFonts w:ascii="宋体" w:hAnsi="宋体" w:eastAsia="宋体" w:cs="宋体"/>
      <w:sz w:val="26"/>
      <w:szCs w:val="26"/>
      <w:u w:val="none"/>
      <w:shd w:val="clear" w:color="auto" w:fill="auto"/>
      <w:lang w:val="zh-TW" w:eastAsia="zh-TW" w:bidi="zh-TW"/>
    </w:rPr>
  </w:style>
  <w:style w:type="paragraph" w:customStyle="1" w:styleId="96">
    <w:name w:val="DY正文"/>
    <w:basedOn w:val="1"/>
    <w:qFormat/>
    <w:uiPriority w:val="0"/>
    <w:pPr>
      <w:adjustRightInd w:val="0"/>
      <w:snapToGrid w:val="0"/>
      <w:spacing w:line="480" w:lineRule="exact"/>
      <w:ind w:firstLine="600" w:firstLineChars="200"/>
      <w:jc w:val="left"/>
    </w:pPr>
    <w:rPr>
      <w:rFonts w:ascii="Times New Roman" w:hAnsi="Times New Roman"/>
      <w:snapToGrid/>
      <w:kern w:val="0"/>
      <w:sz w:val="24"/>
    </w:rPr>
  </w:style>
  <w:style w:type="paragraph" w:customStyle="1" w:styleId="97">
    <w:name w:val="表格标题"/>
    <w:basedOn w:val="1"/>
    <w:next w:val="78"/>
    <w:qFormat/>
    <w:uiPriority w:val="0"/>
    <w:pPr>
      <w:spacing w:line="240" w:lineRule="auto"/>
      <w:ind w:firstLine="0" w:firstLineChars="0"/>
      <w:jc w:val="center"/>
    </w:pPr>
    <w:rPr>
      <w:b/>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81</Pages>
  <Words>42</Words>
  <Characters>65</Characters>
  <Lines>13</Lines>
  <Paragraphs>3</Paragraphs>
  <TotalTime>0</TotalTime>
  <ScaleCrop>false</ScaleCrop>
  <LinksUpToDate>false</LinksUpToDate>
  <CharactersWithSpaces>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FN</cp:lastModifiedBy>
  <cp:lastPrinted>2020-12-29T02:43:00Z</cp:lastPrinted>
  <dcterms:modified xsi:type="dcterms:W3CDTF">2025-06-18T05:00:44Z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9EF87F5D208542AEB1B11986AB847B42_13</vt:lpwstr>
  </property>
  <property fmtid="{D5CDD505-2E9C-101B-9397-08002B2CF9AE}" pid="4" name="commondata">
    <vt:lpwstr>eyJoZGlkIjoiNmRhOWI1YzZlYWYyOWIzMGFhNGNhNDdkODBlZGZjNjIifQ==</vt:lpwstr>
  </property>
  <property fmtid="{D5CDD505-2E9C-101B-9397-08002B2CF9AE}" pid="5" name="KSOTemplateDocerSaveRecord">
    <vt:lpwstr>eyJoZGlkIjoiNTJjYWU5OWYwODFkYWJlODE0ODBlNTBhMGE2ZjZiMDAiLCJ1c2VySWQiOiI0MTQ0NjIyNDQifQ==</vt:lpwstr>
  </property>
</Properties>
</file>