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snapToGrid w:val="0"/>
        <w:rPr>
          <w:rFonts w:ascii="Times New Roman" w:hAnsi="Times New Roman" w:cs="Times New Roman"/>
        </w:rPr>
      </w:pPr>
    </w:p>
    <w:p>
      <w:pPr>
        <w:snapToGrid w:val="0"/>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新疆生产建设兵团医疗保障经办政务服务事项清单(2023年版)</w:t>
      </w:r>
    </w:p>
    <w:bookmarkEnd w:id="0"/>
    <w:p>
      <w:pPr>
        <w:snapToGrid w:val="0"/>
        <w:jc w:val="center"/>
        <w:rPr>
          <w:rFonts w:ascii="Times New Roman" w:hAnsi="Times New Roman" w:eastAsia="方正小标宋_GBK" w:cs="Times New Roman"/>
          <w:sz w:val="20"/>
          <w:szCs w:val="20"/>
        </w:rPr>
      </w:pPr>
    </w:p>
    <w:tbl>
      <w:tblPr>
        <w:tblStyle w:val="9"/>
        <w:tblW w:w="12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6"/>
        <w:gridCol w:w="714"/>
        <w:gridCol w:w="420"/>
        <w:gridCol w:w="952"/>
        <w:gridCol w:w="700"/>
        <w:gridCol w:w="2254"/>
        <w:gridCol w:w="783"/>
        <w:gridCol w:w="1008"/>
        <w:gridCol w:w="2646"/>
        <w:gridCol w:w="2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536"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主项</w:t>
            </w:r>
          </w:p>
        </w:tc>
        <w:tc>
          <w:tcPr>
            <w:tcW w:w="714"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主项编码</w:t>
            </w:r>
          </w:p>
        </w:tc>
        <w:tc>
          <w:tcPr>
            <w:tcW w:w="420"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序号</w:t>
            </w:r>
          </w:p>
        </w:tc>
        <w:tc>
          <w:tcPr>
            <w:tcW w:w="952"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tc>
        <w:tc>
          <w:tcPr>
            <w:tcW w:w="700"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子项编码</w:t>
            </w:r>
          </w:p>
        </w:tc>
        <w:tc>
          <w:tcPr>
            <w:tcW w:w="2254"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办理材料</w:t>
            </w:r>
          </w:p>
        </w:tc>
        <w:tc>
          <w:tcPr>
            <w:tcW w:w="783"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办理时限</w:t>
            </w:r>
          </w:p>
        </w:tc>
        <w:tc>
          <w:tcPr>
            <w:tcW w:w="1008"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办理环节</w:t>
            </w:r>
          </w:p>
        </w:tc>
        <w:tc>
          <w:tcPr>
            <w:tcW w:w="2646"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备注</w:t>
            </w:r>
          </w:p>
        </w:tc>
        <w:tc>
          <w:tcPr>
            <w:tcW w:w="2692"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设定依据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536" w:type="dxa"/>
            <w:vMerge w:val="restart"/>
            <w:shd w:val="clear" w:color="auto" w:fill="auto"/>
            <w:vAlign w:val="center"/>
          </w:tcPr>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一、基本医疗保险参保和变更登记</w:t>
            </w:r>
          </w:p>
        </w:tc>
        <w:tc>
          <w:tcPr>
            <w:tcW w:w="714" w:type="dxa"/>
            <w:vMerge w:val="restart"/>
            <w:shd w:val="clear" w:color="auto" w:fill="auto"/>
            <w:vAlign w:val="center"/>
          </w:tcPr>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00203600100Y</w:t>
            </w:r>
          </w:p>
        </w:tc>
        <w:tc>
          <w:tcPr>
            <w:tcW w:w="420" w:type="dxa"/>
            <w:shd w:val="clear" w:color="auto" w:fill="auto"/>
            <w:vAlign w:val="center"/>
          </w:tcPr>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w:t>
            </w:r>
          </w:p>
        </w:tc>
        <w:tc>
          <w:tcPr>
            <w:tcW w:w="952"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单位参保登记</w:t>
            </w:r>
          </w:p>
        </w:tc>
        <w:tc>
          <w:tcPr>
            <w:tcW w:w="700"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002036001001</w:t>
            </w:r>
          </w:p>
        </w:tc>
        <w:tc>
          <w:tcPr>
            <w:tcW w:w="2254"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1.统一社会信用代码证书或单位批准成立（注销）的文件</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2.《基本医疗保险单位参保信息登记表》（加盖单位公章）</w:t>
            </w:r>
          </w:p>
        </w:tc>
        <w:tc>
          <w:tcPr>
            <w:tcW w:w="783"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不超过5个工作日</w:t>
            </w:r>
          </w:p>
        </w:tc>
        <w:tc>
          <w:tcPr>
            <w:tcW w:w="1008"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申请—受理—审核—办结</w:t>
            </w:r>
          </w:p>
        </w:tc>
        <w:tc>
          <w:tcPr>
            <w:tcW w:w="2646"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1.各地可通过查询市场监管部门“五证合一”数据获取信息并即时办结；</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2.参保登记含新参保、暂停参保、注销登记等相关内容。</w:t>
            </w:r>
          </w:p>
        </w:tc>
        <w:tc>
          <w:tcPr>
            <w:tcW w:w="2692"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1.《中华人民共和国社会保险法》第五十七条；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2.《社会保险费征缴暂行条例》（国务院令第259号）第八条；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3.《社会保险经办条例》（国务院令第765号）第六条、第十条。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72" w:hRule="atLeast"/>
          <w:jc w:val="center"/>
        </w:trPr>
        <w:tc>
          <w:tcPr>
            <w:tcW w:w="536" w:type="dxa"/>
            <w:vMerge w:val="continue"/>
            <w:shd w:val="clear" w:color="auto" w:fill="auto"/>
            <w:vAlign w:val="center"/>
          </w:tcPr>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tc>
        <w:tc>
          <w:tcPr>
            <w:tcW w:w="714" w:type="dxa"/>
            <w:vMerge w:val="continue"/>
            <w:shd w:val="clear" w:color="auto" w:fill="auto"/>
            <w:vAlign w:val="center"/>
          </w:tcPr>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tc>
        <w:tc>
          <w:tcPr>
            <w:tcW w:w="420" w:type="dxa"/>
            <w:shd w:val="clear" w:color="auto" w:fill="auto"/>
            <w:vAlign w:val="center"/>
          </w:tcPr>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2</w:t>
            </w:r>
          </w:p>
        </w:tc>
        <w:tc>
          <w:tcPr>
            <w:tcW w:w="952"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职工参保登记</w:t>
            </w:r>
          </w:p>
        </w:tc>
        <w:tc>
          <w:tcPr>
            <w:tcW w:w="700"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002036001002</w:t>
            </w:r>
          </w:p>
        </w:tc>
        <w:tc>
          <w:tcPr>
            <w:tcW w:w="2254" w:type="dxa"/>
            <w:shd w:val="clear" w:color="auto" w:fill="auto"/>
            <w:vAlign w:val="center"/>
          </w:tcPr>
          <w:p>
            <w:pPr>
              <w:widowControl/>
              <w:snapToGrid w:val="0"/>
              <w:jc w:val="left"/>
              <w:rPr>
                <w:rFonts w:ascii="Times New Roman" w:hAnsi="Times New Roman" w:cs="Times New Roman"/>
                <w:color w:val="000000" w:themeColor="text1"/>
                <w:w w:val="98"/>
                <w:kern w:val="0"/>
                <w:sz w:val="15"/>
                <w:szCs w:val="15"/>
                <w14:textFill>
                  <w14:solidFill>
                    <w14:schemeClr w14:val="tx1"/>
                  </w14:solidFill>
                </w14:textFill>
              </w:rPr>
            </w:pPr>
            <w:r>
              <w:rPr>
                <w:rFonts w:ascii="Times New Roman" w:hAnsi="Times New Roman" w:cs="Times New Roman"/>
                <w:color w:val="000000" w:themeColor="text1"/>
                <w:w w:val="98"/>
                <w:kern w:val="0"/>
                <w:sz w:val="15"/>
                <w:szCs w:val="15"/>
                <w14:textFill>
                  <w14:solidFill>
                    <w14:schemeClr w14:val="tx1"/>
                  </w14:solidFill>
                </w14:textFill>
              </w:rPr>
              <w:t>1.在职职工：①《职工基本医疗保险参保登记表》（含新增、暂停、终止、恢复、在职转退休）（加盖单位公章）；</w:t>
            </w:r>
            <w:r>
              <w:rPr>
                <w:rFonts w:ascii="Times New Roman" w:hAnsi="Times New Roman" w:cs="Times New Roman"/>
                <w:color w:val="000000" w:themeColor="text1"/>
                <w:spacing w:val="-4"/>
                <w:w w:val="98"/>
                <w:kern w:val="0"/>
                <w:sz w:val="15"/>
                <w:szCs w:val="15"/>
                <w14:textFill>
                  <w14:solidFill>
                    <w14:schemeClr w14:val="tx1"/>
                  </w14:solidFill>
                </w14:textFill>
              </w:rPr>
              <w:t>②有效身份证件复印件</w:t>
            </w:r>
            <w:r>
              <w:rPr>
                <w:rFonts w:ascii="Times New Roman" w:hAnsi="Times New Roman" w:cs="Times New Roman"/>
                <w:color w:val="000000" w:themeColor="text1"/>
                <w:w w:val="98"/>
                <w:kern w:val="0"/>
                <w:sz w:val="15"/>
                <w:szCs w:val="15"/>
                <w14:textFill>
                  <w14:solidFill>
                    <w14:schemeClr w14:val="tx1"/>
                  </w14:solidFill>
                </w14:textFill>
              </w:rPr>
              <w:br w:type="textWrapping"/>
            </w:r>
            <w:r>
              <w:rPr>
                <w:rFonts w:ascii="Times New Roman" w:hAnsi="Times New Roman" w:cs="Times New Roman"/>
                <w:color w:val="000000" w:themeColor="text1"/>
                <w:w w:val="98"/>
                <w:kern w:val="0"/>
                <w:sz w:val="15"/>
                <w:szCs w:val="15"/>
                <w14:textFill>
                  <w14:solidFill>
                    <w14:schemeClr w14:val="tx1"/>
                  </w14:solidFill>
                </w14:textFill>
              </w:rPr>
              <w:t>2.灵活就业人员：①有效身份证件；②《职工基本医疗保险参保登记表》</w:t>
            </w:r>
          </w:p>
        </w:tc>
        <w:tc>
          <w:tcPr>
            <w:tcW w:w="783"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在职职工不超过5个工作日；灵活就业人员即时办结</w:t>
            </w:r>
          </w:p>
        </w:tc>
        <w:tc>
          <w:tcPr>
            <w:tcW w:w="1008"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申请—受理—审核—办结</w:t>
            </w:r>
          </w:p>
        </w:tc>
        <w:tc>
          <w:tcPr>
            <w:tcW w:w="2646"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1.特殊人群还需提供：</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①港澳台人员参加在职职工医保的，需提供港澳居民来往内地通行证或港澳台居民居住证,以及建立劳动关系的证明；</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②外国人参加在职职工医保的,需提供外国人就业证件及居留证件，或外国人永久居留证；</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10"/>
                <w:w w:val="98"/>
                <w:kern w:val="0"/>
                <w:sz w:val="15"/>
                <w:szCs w:val="15"/>
                <w14:textFill>
                  <w14:solidFill>
                    <w14:schemeClr w14:val="tx1"/>
                  </w14:solidFill>
                </w14:textFill>
              </w:rPr>
              <w:t>③出国定居的，需提供护照或永久居留证；</w:t>
            </w:r>
            <w:r>
              <w:rPr>
                <w:rFonts w:ascii="Times New Roman" w:hAnsi="Times New Roman" w:cs="Times New Roman"/>
                <w:color w:val="000000" w:themeColor="text1"/>
                <w:spacing w:val="-10"/>
                <w:w w:val="98"/>
                <w:kern w:val="0"/>
                <w:sz w:val="15"/>
                <w:szCs w:val="15"/>
                <w14:textFill>
                  <w14:solidFill>
                    <w14:schemeClr w14:val="tx1"/>
                  </w14:solidFill>
                </w14:textFill>
              </w:rPr>
              <w:br w:type="textWrapping"/>
            </w:r>
            <w:r>
              <w:rPr>
                <w:rFonts w:ascii="Times New Roman" w:hAnsi="Times New Roman" w:cs="Times New Roman"/>
                <w:color w:val="000000" w:themeColor="text1"/>
                <w:spacing w:val="-10"/>
                <w:w w:val="98"/>
                <w:kern w:val="0"/>
                <w:sz w:val="15"/>
                <w:szCs w:val="15"/>
                <w14:textFill>
                  <w14:solidFill>
                    <w14:schemeClr w14:val="tx1"/>
                  </w14:solidFill>
                </w14:textFill>
              </w:rPr>
              <w:t>④在职转退休的，需提供退休审批材料。</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2.个人出现国家规定的停止享受医保待遇的情形后，用人单位、待遇享受人员或者其亲属应当自相关情形发生之日起20个工作日内告知医保经办机构。</w:t>
            </w:r>
          </w:p>
        </w:tc>
        <w:tc>
          <w:tcPr>
            <w:tcW w:w="2692" w:type="dxa"/>
            <w:vMerge w:val="restart"/>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1.《中华人民共和国社会保险法》第二十三条、第二十四条、第二十五条、第五十八条；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2.《社会保险经办条例》（国务院令第765号）第六条；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3.《香港澳门台湾居民在内地（大陆）参加社会保险暂行办法》（中华人民共和国人力资源和社会保障部、国家医疗保障局令第41号）第二条、第三条、第四条、第十四条；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8"/>
                <w:w w:val="98"/>
                <w:kern w:val="0"/>
                <w:sz w:val="15"/>
                <w:szCs w:val="15"/>
                <w14:textFill>
                  <w14:solidFill>
                    <w14:schemeClr w14:val="tx1"/>
                  </w14:solidFill>
                </w14:textFill>
              </w:rPr>
              <w:t>4.《在中国境内就业的外国人参加社会保险暂行办法》（中华人民共和国人力资源和社会保障部令第16号）第三条、第四条；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5.中共中央组织部 人力资源社会保障部 公安部等25部门关于印发《外国人在中国永久居留享有相关待遇的办法》的通知（人社部发〔2012〕53号）；</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6.《国务院关于整合城乡居民基本医疗保险制度的意见》（国发〔2016〕3号）。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87" w:hRule="atLeast"/>
          <w:jc w:val="center"/>
        </w:trPr>
        <w:tc>
          <w:tcPr>
            <w:tcW w:w="536" w:type="dxa"/>
            <w:vMerge w:val="continue"/>
            <w:shd w:val="clear" w:color="auto" w:fill="auto"/>
            <w:vAlign w:val="center"/>
          </w:tcPr>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p>
        </w:tc>
        <w:tc>
          <w:tcPr>
            <w:tcW w:w="714" w:type="dxa"/>
            <w:vMerge w:val="continue"/>
            <w:shd w:val="clear" w:color="auto" w:fill="auto"/>
            <w:vAlign w:val="center"/>
          </w:tcPr>
          <w:p>
            <w:pPr>
              <w:widowControl/>
              <w:snapToGrid w:val="0"/>
              <w:rPr>
                <w:rFonts w:ascii="Times New Roman" w:hAnsi="Times New Roman" w:cs="Times New Roman"/>
                <w:color w:val="000000" w:themeColor="text1"/>
                <w:spacing w:val="-4"/>
                <w:w w:val="98"/>
                <w:kern w:val="0"/>
                <w:sz w:val="15"/>
                <w:szCs w:val="15"/>
                <w14:textFill>
                  <w14:solidFill>
                    <w14:schemeClr w14:val="tx1"/>
                  </w14:solidFill>
                </w14:textFill>
              </w:rPr>
            </w:pPr>
          </w:p>
        </w:tc>
        <w:tc>
          <w:tcPr>
            <w:tcW w:w="420" w:type="dxa"/>
            <w:shd w:val="clear" w:color="auto" w:fill="auto"/>
            <w:vAlign w:val="center"/>
          </w:tcPr>
          <w:p>
            <w:pPr>
              <w:widowControl/>
              <w:snapToGrid w:val="0"/>
              <w:jc w:val="center"/>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3</w:t>
            </w:r>
          </w:p>
        </w:tc>
        <w:tc>
          <w:tcPr>
            <w:tcW w:w="952"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城乡居民参保登记</w:t>
            </w:r>
          </w:p>
        </w:tc>
        <w:tc>
          <w:tcPr>
            <w:tcW w:w="700"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002036001003</w:t>
            </w:r>
          </w:p>
        </w:tc>
        <w:tc>
          <w:tcPr>
            <w:tcW w:w="2254"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1.有效身份证件</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w:t>
            </w:r>
            <w:r>
              <w:rPr>
                <w:rFonts w:ascii="Times New Roman" w:hAnsi="Times New Roman" w:cs="Times New Roman"/>
                <w:color w:val="000000" w:themeColor="text1"/>
                <w:w w:val="98"/>
                <w:kern w:val="0"/>
                <w:sz w:val="15"/>
                <w:szCs w:val="15"/>
                <w14:textFill>
                  <w14:solidFill>
                    <w14:schemeClr w14:val="tx1"/>
                  </w14:solidFill>
                </w14:textFill>
              </w:rPr>
              <w:t>城乡居民基本医疗保险参保登记表》（含新增、暂停、终止、恢复）</w:t>
            </w:r>
          </w:p>
        </w:tc>
        <w:tc>
          <w:tcPr>
            <w:tcW w:w="783"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即时办结</w:t>
            </w:r>
          </w:p>
        </w:tc>
        <w:tc>
          <w:tcPr>
            <w:tcW w:w="1008"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申请—受理—审核—办结</w:t>
            </w:r>
          </w:p>
        </w:tc>
        <w:tc>
          <w:tcPr>
            <w:tcW w:w="2646"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1.各地应积极协同推进“新生儿出生一件事”联办，方便新生儿办理城乡居民参保登记；</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2.个人出现国家规定的停止享受医保待遇的情形后，待遇享受人员或者其亲属应当自相关情形发生之日起20个工作日内告知医保经办机构。</w:t>
            </w:r>
          </w:p>
        </w:tc>
        <w:tc>
          <w:tcPr>
            <w:tcW w:w="2692" w:type="dxa"/>
            <w:vMerge w:val="continue"/>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p>
        </w:tc>
      </w:tr>
    </w:tbl>
    <w:p>
      <w:pPr>
        <w:widowControl/>
        <w:snapToGrid w:val="0"/>
        <w:jc w:val="center"/>
        <w:rPr>
          <w:rFonts w:ascii="Times New Roman" w:hAnsi="Times New Roman" w:cs="Times New Roman"/>
          <w:spacing w:val="-4"/>
          <w:w w:val="98"/>
          <w:kern w:val="0"/>
          <w:sz w:val="15"/>
          <w:szCs w:val="15"/>
        </w:rPr>
        <w:sectPr>
          <w:footerReference r:id="rId3" w:type="default"/>
          <w:pgSz w:w="16838" w:h="11906" w:orient="landscape"/>
          <w:pgMar w:top="1474" w:right="2098" w:bottom="1474" w:left="2098" w:header="851" w:footer="992" w:gutter="0"/>
          <w:cols w:space="425" w:num="1"/>
          <w:docGrid w:type="lines" w:linePitch="312" w:charSpace="0"/>
        </w:sectPr>
      </w:pPr>
    </w:p>
    <w:tbl>
      <w:tblPr>
        <w:tblStyle w:val="9"/>
        <w:tblW w:w="12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6"/>
        <w:gridCol w:w="714"/>
        <w:gridCol w:w="420"/>
        <w:gridCol w:w="952"/>
        <w:gridCol w:w="700"/>
        <w:gridCol w:w="2254"/>
        <w:gridCol w:w="783"/>
        <w:gridCol w:w="1008"/>
        <w:gridCol w:w="2646"/>
        <w:gridCol w:w="2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6"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主项</w:t>
            </w:r>
          </w:p>
        </w:tc>
        <w:tc>
          <w:tcPr>
            <w:tcW w:w="71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主项编码</w:t>
            </w:r>
          </w:p>
        </w:tc>
        <w:tc>
          <w:tcPr>
            <w:tcW w:w="420"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序号</w:t>
            </w:r>
          </w:p>
        </w:tc>
        <w:tc>
          <w:tcPr>
            <w:tcW w:w="95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tc>
        <w:tc>
          <w:tcPr>
            <w:tcW w:w="70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子项编码</w:t>
            </w:r>
          </w:p>
        </w:tc>
        <w:tc>
          <w:tcPr>
            <w:tcW w:w="225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办理材料</w:t>
            </w:r>
          </w:p>
        </w:tc>
        <w:tc>
          <w:tcPr>
            <w:tcW w:w="783"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办理时限</w:t>
            </w:r>
          </w:p>
        </w:tc>
        <w:tc>
          <w:tcPr>
            <w:tcW w:w="1008"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办理环节</w:t>
            </w:r>
          </w:p>
        </w:tc>
        <w:tc>
          <w:tcPr>
            <w:tcW w:w="2646" w:type="dxa"/>
            <w:shd w:val="clear" w:color="auto" w:fill="auto"/>
            <w:vAlign w:val="center"/>
          </w:tcPr>
          <w:p>
            <w:pPr>
              <w:widowControl/>
              <w:snapToGrid w:val="0"/>
              <w:jc w:val="center"/>
              <w:rPr>
                <w:rFonts w:ascii="Times New Roman" w:hAnsi="Times New Roman" w:cs="Times New Roman"/>
                <w:spacing w:val="-10"/>
                <w:w w:val="98"/>
                <w:kern w:val="0"/>
                <w:sz w:val="15"/>
                <w:szCs w:val="15"/>
              </w:rPr>
            </w:pPr>
            <w:r>
              <w:rPr>
                <w:rFonts w:ascii="Times New Roman" w:hAnsi="Times New Roman" w:eastAsia="黑体" w:cs="Times New Roman"/>
                <w:spacing w:val="-4"/>
                <w:w w:val="98"/>
                <w:kern w:val="0"/>
                <w:sz w:val="15"/>
                <w:szCs w:val="15"/>
              </w:rPr>
              <w:t>备注</w:t>
            </w:r>
          </w:p>
        </w:tc>
        <w:tc>
          <w:tcPr>
            <w:tcW w:w="269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设定依据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536" w:type="dxa"/>
            <w:vMerge w:val="restart"/>
            <w:shd w:val="clear" w:color="auto" w:fill="auto"/>
            <w:vAlign w:val="center"/>
          </w:tcPr>
          <w:p>
            <w:pPr>
              <w:pStyle w:val="2"/>
              <w:rPr>
                <w:rFonts w:ascii="Times New Roman" w:hAnsi="Times New Roman" w:cs="Times New Roman"/>
              </w:rPr>
            </w:pP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4</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单位参保信息变更登记</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002036001004</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《基本医疗保险参保单位信息变更登记表》（加盖单位公章）</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10"/>
                <w:w w:val="98"/>
                <w:kern w:val="0"/>
                <w:sz w:val="15"/>
                <w:szCs w:val="15"/>
              </w:rPr>
              <w:t>变更单位性质、法定代表人、银行账户等关键信息的，应提供必要的佐证资料。</w:t>
            </w:r>
          </w:p>
        </w:tc>
        <w:tc>
          <w:tcPr>
            <w:tcW w:w="2692"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1.《中华人民共和国社会保险法》第五十七条；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2.《社会保险费征缴暂行条例》（国务院令第259号）第九条；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3.《社会保险经办条例》（国务院令第765号）第八条、第九条、第十条。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536" w:type="dxa"/>
            <w:vMerge w:val="continue"/>
            <w:shd w:val="clear" w:color="auto" w:fill="auto"/>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shd w:val="clear" w:color="auto" w:fill="auto"/>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5</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职工参保信息变更登记</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002036001005</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2.《基本医疗保险职工参保信息变更登记表》（关键信息变更加盖单位公章）</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变</w:t>
            </w:r>
            <w:r>
              <w:rPr>
                <w:rFonts w:ascii="Times New Roman" w:hAnsi="Times New Roman" w:cs="Times New Roman"/>
                <w:spacing w:val="-10"/>
                <w:w w:val="98"/>
                <w:kern w:val="0"/>
                <w:sz w:val="15"/>
                <w:szCs w:val="15"/>
              </w:rPr>
              <w:t>更姓名、性别、身份证号、出生日期等关键信息的，应提供必要的佐证资料。</w:t>
            </w: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536" w:type="dxa"/>
            <w:vMerge w:val="continue"/>
            <w:shd w:val="clear" w:color="auto" w:fill="auto"/>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shd w:val="clear" w:color="auto" w:fill="auto"/>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6</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城乡居民参保信息变更登记</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002036001006</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w:t>
            </w:r>
            <w:r>
              <w:rPr>
                <w:rFonts w:ascii="Times New Roman" w:hAnsi="Times New Roman" w:cs="Times New Roman"/>
                <w:spacing w:val="-10"/>
                <w:w w:val="98"/>
                <w:kern w:val="0"/>
                <w:sz w:val="15"/>
                <w:szCs w:val="15"/>
              </w:rPr>
              <w:t>子凭证或社会保障卡</w:t>
            </w:r>
            <w:r>
              <w:rPr>
                <w:rFonts w:ascii="Times New Roman" w:hAnsi="Times New Roman" w:cs="Times New Roman"/>
                <w:spacing w:val="-10"/>
                <w:w w:val="98"/>
                <w:kern w:val="0"/>
                <w:sz w:val="15"/>
                <w:szCs w:val="15"/>
              </w:rPr>
              <w:br w:type="textWrapping"/>
            </w:r>
            <w:r>
              <w:rPr>
                <w:rFonts w:ascii="Times New Roman" w:hAnsi="Times New Roman" w:cs="Times New Roman"/>
                <w:spacing w:val="-10"/>
                <w:w w:val="98"/>
                <w:kern w:val="0"/>
                <w:sz w:val="15"/>
                <w:szCs w:val="15"/>
              </w:rPr>
              <w:t>2.《基本医疗保险城乡居民参保信息变更登记表》</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536" w:type="dxa"/>
            <w:vMerge w:val="restart"/>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二、基本医疗保险参保信息查询和个人账户一次性支取</w:t>
            </w: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00203600200Y</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7</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参保单位参保信息查询</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002036002001</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单位有效证明文件</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单位有效证明文件可包括：统一社会信用代码证书或介绍信。</w:t>
            </w:r>
          </w:p>
        </w:tc>
        <w:tc>
          <w:tcPr>
            <w:tcW w:w="2692"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1.《中华人民共和国社会保险法》第七十四条；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2.《社会保险费征缴暂行条例》（国务院令第259号）第十六条；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w:t>
            </w:r>
            <w:r>
              <w:rPr>
                <w:rFonts w:ascii="Times New Roman" w:hAnsi="Times New Roman" w:cs="Times New Roman"/>
                <w:spacing w:val="-10"/>
                <w:w w:val="98"/>
                <w:kern w:val="0"/>
                <w:sz w:val="15"/>
                <w:szCs w:val="15"/>
              </w:rPr>
              <w:t>社会保险经办条例》（国务院令第765号）第三十二条。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8</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参保人员参保信息查询</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002036002002</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有效身份证件或医保电子凭证或社会保障卡</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w:t>
            </w: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81"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9</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参保人员个人账户一次性支取</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002036002003</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2.《职工基本医疗保险个人账户一次性支取申请表》</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不超过15个工作日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1.因死亡支取的应提供继承人身份证、银行卡账户信息，通过数据共享无法查询死亡信息的应提供个人承诺书；</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2.主</w:t>
            </w:r>
            <w:r>
              <w:rPr>
                <w:rFonts w:ascii="Times New Roman" w:hAnsi="Times New Roman" w:cs="Times New Roman"/>
                <w:spacing w:val="-10"/>
                <w:w w:val="98"/>
                <w:kern w:val="0"/>
                <w:sz w:val="15"/>
                <w:szCs w:val="15"/>
              </w:rPr>
              <w:t>动放弃参加职工基本医疗保险的，需提供主动放弃基本医疗保险的情况说明。</w:t>
            </w:r>
          </w:p>
        </w:tc>
        <w:tc>
          <w:tcPr>
            <w:tcW w:w="269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1.《国务院关于建立城镇职工基本医疗保险制度的决定》（国发〔1998〕44号）；</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2.《香港澳门台湾居民在内地（大陆）参加社会保险暂行办法》（中华人民共和国人力资源和社会保障部、国家医疗保障局令第41号）第七条；</w:t>
            </w:r>
            <w:r>
              <w:rPr>
                <w:rFonts w:ascii="Times New Roman" w:hAnsi="Times New Roman" w:cs="Times New Roman"/>
                <w:spacing w:val="-4"/>
                <w:w w:val="98"/>
                <w:kern w:val="0"/>
                <w:sz w:val="15"/>
                <w:szCs w:val="15"/>
              </w:rPr>
              <w:br w:type="textWrapping"/>
            </w:r>
            <w:r>
              <w:rPr>
                <w:rFonts w:ascii="Times New Roman" w:hAnsi="Times New Roman" w:cs="Times New Roman"/>
                <w:spacing w:val="-6"/>
                <w:w w:val="98"/>
                <w:kern w:val="0"/>
                <w:sz w:val="15"/>
                <w:szCs w:val="15"/>
              </w:rPr>
              <w:t>3.《在中国境内就业的外国人参加社会保险暂行办法》（中华人民共和国人力资源和社会保障部令第16号）第五条、第六条。</w:t>
            </w:r>
          </w:p>
        </w:tc>
      </w:tr>
    </w:tbl>
    <w:p>
      <w:pPr>
        <w:widowControl/>
        <w:snapToGrid w:val="0"/>
        <w:jc w:val="center"/>
        <w:rPr>
          <w:rFonts w:ascii="Times New Roman" w:hAnsi="Times New Roman" w:cs="Times New Roman"/>
          <w:spacing w:val="-4"/>
          <w:w w:val="98"/>
          <w:kern w:val="0"/>
          <w:sz w:val="15"/>
          <w:szCs w:val="15"/>
        </w:rPr>
        <w:sectPr>
          <w:footerReference r:id="rId4" w:type="default"/>
          <w:pgSz w:w="16838" w:h="11906" w:orient="landscape"/>
          <w:pgMar w:top="1474" w:right="2098" w:bottom="1474" w:left="2098" w:header="851" w:footer="992" w:gutter="0"/>
          <w:cols w:space="425" w:num="1"/>
          <w:docGrid w:type="lines" w:linePitch="312" w:charSpace="0"/>
        </w:sectPr>
      </w:pPr>
    </w:p>
    <w:tbl>
      <w:tblPr>
        <w:tblStyle w:val="9"/>
        <w:tblW w:w="12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6"/>
        <w:gridCol w:w="714"/>
        <w:gridCol w:w="420"/>
        <w:gridCol w:w="952"/>
        <w:gridCol w:w="700"/>
        <w:gridCol w:w="2254"/>
        <w:gridCol w:w="783"/>
        <w:gridCol w:w="1008"/>
        <w:gridCol w:w="2646"/>
        <w:gridCol w:w="2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6" w:type="dxa"/>
            <w:shd w:val="clear" w:color="000000" w:fill="FFFFFF"/>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主项</w:t>
            </w:r>
          </w:p>
        </w:tc>
        <w:tc>
          <w:tcPr>
            <w:tcW w:w="714" w:type="dxa"/>
            <w:shd w:val="clear" w:color="000000" w:fill="FFFFFF"/>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主项编码</w:t>
            </w:r>
          </w:p>
        </w:tc>
        <w:tc>
          <w:tcPr>
            <w:tcW w:w="420" w:type="dxa"/>
            <w:shd w:val="clear" w:color="auto" w:fill="auto"/>
            <w:vAlign w:val="center"/>
          </w:tcPr>
          <w:p>
            <w:pPr>
              <w:widowControl/>
              <w:snapToGrid w:val="0"/>
              <w:jc w:val="center"/>
              <w:rPr>
                <w:rFonts w:ascii="Times New Roman" w:hAnsi="Times New Roman" w:eastAsia="黑体" w:cs="Times New Roman"/>
                <w:spacing w:val="-4"/>
                <w:w w:val="98"/>
                <w:kern w:val="0"/>
                <w:sz w:val="15"/>
                <w:szCs w:val="15"/>
              </w:rPr>
            </w:pPr>
            <w:r>
              <w:rPr>
                <w:rFonts w:ascii="Times New Roman" w:hAnsi="Times New Roman" w:eastAsia="黑体" w:cs="Times New Roman"/>
                <w:spacing w:val="-4"/>
                <w:w w:val="98"/>
                <w:kern w:val="0"/>
                <w:sz w:val="15"/>
                <w:szCs w:val="15"/>
              </w:rPr>
              <w:t>子项</w:t>
            </w:r>
          </w:p>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序号</w:t>
            </w:r>
          </w:p>
        </w:tc>
        <w:tc>
          <w:tcPr>
            <w:tcW w:w="95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子项</w:t>
            </w:r>
          </w:p>
        </w:tc>
        <w:tc>
          <w:tcPr>
            <w:tcW w:w="70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子项编码</w:t>
            </w:r>
          </w:p>
        </w:tc>
        <w:tc>
          <w:tcPr>
            <w:tcW w:w="225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办理材料</w:t>
            </w:r>
          </w:p>
        </w:tc>
        <w:tc>
          <w:tcPr>
            <w:tcW w:w="783"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办理时限</w:t>
            </w:r>
          </w:p>
        </w:tc>
        <w:tc>
          <w:tcPr>
            <w:tcW w:w="1008"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办理环节</w:t>
            </w:r>
          </w:p>
        </w:tc>
        <w:tc>
          <w:tcPr>
            <w:tcW w:w="2646"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备注</w:t>
            </w:r>
          </w:p>
        </w:tc>
        <w:tc>
          <w:tcPr>
            <w:tcW w:w="269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设定依据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536" w:type="dxa"/>
            <w:shd w:val="clear" w:color="000000" w:fill="FFFFFF"/>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三、基本医疗保险关系转移接续</w:t>
            </w:r>
          </w:p>
        </w:tc>
        <w:tc>
          <w:tcPr>
            <w:tcW w:w="714" w:type="dxa"/>
            <w:shd w:val="clear" w:color="000000" w:fill="FFFFFF"/>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00203600300Y</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10</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转移接续手续办理</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002036003002</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有效身份证件或医保电子凭证或社会保障卡</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不超过15个工作日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1.参保人员转移接续申请成功受理后，转出地经办机构10个工作日内完成基本医疗保险关系转出，生成《参保人员基本医疗保险信息表》签章后上传，若个人账户有余额的，办理个人账户余额划转手续；</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2.转入地经办机构收到《参保人员基本医疗保险信息表》后，在5个工作日内完成基本医疗保险关系转入。</w:t>
            </w:r>
          </w:p>
        </w:tc>
        <w:tc>
          <w:tcPr>
            <w:tcW w:w="269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1.《中华人民共和国社会保险法》第三十二条；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2.《国家医保局办公室 财政部办公厅关于印发〈基本医疗保险关系转移接续暂行办法〉的通知》（医保办发〔2021〕43号）第二条、第八条、第九条。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74" w:hRule="atLeast"/>
          <w:jc w:val="center"/>
        </w:trPr>
        <w:tc>
          <w:tcPr>
            <w:tcW w:w="536" w:type="dxa"/>
            <w:vMerge w:val="restart"/>
            <w:shd w:val="clear" w:color="auto" w:fill="auto"/>
            <w:vAlign w:val="center"/>
          </w:tcPr>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四、基本医疗保险参保人员异地就医备案</w:t>
            </w: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00203600400Y</w:t>
            </w:r>
          </w:p>
          <w:p>
            <w:pPr>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11</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异地安置退休人员备案</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002036004001</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2.《异地就医登记备案表》</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3.异地安置认定材料：居民户口簿（户口簿首页和本人常住人口登记卡）或个人承诺书</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1.通过全国统一的线上备案渠道申请办理异地就医备案的，原则上参保地经办机构应在2个工作日内办结；</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2.参保人在居住地公安派出所或者受公安机关委托的社区服务机构办理申领居住证手续且尚未领取的，可提交有关部门出具的受理凭证；</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 xml:space="preserve">3.省内异地就医参照执行。 </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 xml:space="preserve">  </w:t>
            </w:r>
          </w:p>
          <w:p>
            <w:pPr>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w:t>
            </w:r>
          </w:p>
        </w:tc>
        <w:tc>
          <w:tcPr>
            <w:tcW w:w="2692"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《国</w:t>
            </w:r>
            <w:r>
              <w:rPr>
                <w:rFonts w:ascii="Times New Roman" w:hAnsi="Times New Roman" w:cs="Times New Roman"/>
                <w:spacing w:val="-10"/>
                <w:w w:val="98"/>
                <w:kern w:val="0"/>
                <w:sz w:val="15"/>
                <w:szCs w:val="15"/>
              </w:rPr>
              <w:t>家医保局　财政部关于进一步做好基本医疗保险跨省异地就医直接结算工作的通知》（医保发〔2022〕22号）</w:t>
            </w:r>
            <w:r>
              <w:rPr>
                <w:rFonts w:hint="eastAsia" w:ascii="Times New Roman" w:hAnsi="Times New Roman" w:cs="Times New Roman"/>
                <w:spacing w:val="-10"/>
                <w:w w:val="98"/>
                <w:kern w:val="0"/>
                <w:sz w:val="15"/>
                <w:szCs w:val="15"/>
              </w:rPr>
              <w:t>、《关于进一步做好基本医疗保险跨省异地就医直接结算工作的通知》（兵医保发</w:t>
            </w:r>
            <w:r>
              <w:rPr>
                <w:rFonts w:ascii="Times New Roman" w:hAnsi="Times New Roman" w:cs="Times New Roman"/>
                <w:spacing w:val="-10"/>
                <w:w w:val="98"/>
                <w:kern w:val="0"/>
                <w:sz w:val="15"/>
                <w:szCs w:val="15"/>
              </w:rPr>
              <w:t>〔2022〕2</w:t>
            </w:r>
            <w:r>
              <w:rPr>
                <w:rFonts w:hint="eastAsia" w:ascii="Times New Roman" w:hAnsi="Times New Roman" w:cs="Times New Roman"/>
                <w:spacing w:val="-10"/>
                <w:w w:val="98"/>
                <w:kern w:val="0"/>
                <w:sz w:val="15"/>
                <w:szCs w:val="15"/>
              </w:rPr>
              <w:t>9</w:t>
            </w:r>
            <w:r>
              <w:rPr>
                <w:rFonts w:ascii="Times New Roman" w:hAnsi="Times New Roman" w:cs="Times New Roman"/>
                <w:spacing w:val="-10"/>
                <w:w w:val="98"/>
                <w:kern w:val="0"/>
                <w:sz w:val="15"/>
                <w:szCs w:val="15"/>
              </w:rPr>
              <w:t>号</w:t>
            </w:r>
            <w:r>
              <w:rPr>
                <w:rFonts w:hint="eastAsia" w:ascii="Times New Roman" w:hAnsi="Times New Roman" w:cs="Times New Roman"/>
                <w:spacing w:val="-10"/>
                <w:w w:val="98"/>
                <w:kern w:val="0"/>
                <w:sz w:val="15"/>
                <w:szCs w:val="15"/>
              </w:rPr>
              <w:t>）</w:t>
            </w:r>
          </w:p>
          <w:p>
            <w:pPr>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87"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12</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异地长期居住人员备案</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002036004002</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2.《异地就医登记备案表》</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3.长期居住认定材料：居住证、居民户口簿（户口簿首页和本人常住人口登记卡）任选其一，或个人承诺书</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vMerge w:val="continue"/>
            <w:vAlign w:val="center"/>
          </w:tcPr>
          <w:p>
            <w:pPr>
              <w:snapToGrid w:val="0"/>
              <w:jc w:val="center"/>
              <w:rPr>
                <w:rFonts w:ascii="Times New Roman" w:hAnsi="Times New Roman" w:cs="Times New Roman"/>
                <w:spacing w:val="-4"/>
                <w:w w:val="98"/>
                <w:kern w:val="0"/>
                <w:sz w:val="15"/>
                <w:szCs w:val="15"/>
              </w:rPr>
            </w:pPr>
          </w:p>
        </w:tc>
        <w:tc>
          <w:tcPr>
            <w:tcW w:w="2692" w:type="dxa"/>
            <w:vMerge w:val="continue"/>
            <w:vAlign w:val="center"/>
          </w:tcPr>
          <w:p>
            <w:pPr>
              <w:snapToGrid w:val="0"/>
              <w:jc w:val="center"/>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87" w:hRule="atLeast"/>
          <w:jc w:val="center"/>
        </w:trPr>
        <w:tc>
          <w:tcPr>
            <w:tcW w:w="536" w:type="dxa"/>
            <w:vMerge w:val="continue"/>
            <w:shd w:val="clear" w:color="auto" w:fill="auto"/>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shd w:val="clear" w:color="auto" w:fill="auto"/>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13</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常驻异地工作人员备案</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002036004003</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2.《异地就医登记备案表》</w:t>
            </w:r>
            <w:r>
              <w:rPr>
                <w:rFonts w:ascii="Times New Roman" w:hAnsi="Times New Roman" w:cs="Times New Roman"/>
                <w:spacing w:val="-4"/>
                <w:w w:val="98"/>
                <w:kern w:val="0"/>
                <w:sz w:val="15"/>
                <w:szCs w:val="15"/>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3.异地工作认定材料：参保地工作单位派出证明、异地工作单位证明、异地工作劳动合同任选其一或个人承诺书</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vMerge w:val="continue"/>
            <w:shd w:val="clear" w:color="auto" w:fill="auto"/>
          </w:tcPr>
          <w:p>
            <w:pPr>
              <w:widowControl/>
              <w:snapToGrid w:val="0"/>
              <w:jc w:val="center"/>
              <w:rPr>
                <w:rFonts w:ascii="Times New Roman" w:hAnsi="Times New Roman" w:cs="Times New Roman"/>
                <w:spacing w:val="-4"/>
                <w:w w:val="98"/>
                <w:kern w:val="0"/>
                <w:sz w:val="15"/>
                <w:szCs w:val="15"/>
              </w:rPr>
            </w:pPr>
          </w:p>
        </w:tc>
        <w:tc>
          <w:tcPr>
            <w:tcW w:w="2692" w:type="dxa"/>
            <w:vMerge w:val="continue"/>
            <w:shd w:val="clear" w:color="auto" w:fill="auto"/>
          </w:tcPr>
          <w:p>
            <w:pPr>
              <w:widowControl/>
              <w:snapToGrid w:val="0"/>
              <w:jc w:val="center"/>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14</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异地转诊人员备案</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002036004004</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2.《异地就医登记备案表》</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3.参</w:t>
            </w:r>
            <w:r>
              <w:rPr>
                <w:rFonts w:ascii="Times New Roman" w:hAnsi="Times New Roman" w:cs="Times New Roman"/>
                <w:spacing w:val="-10"/>
                <w:w w:val="98"/>
                <w:kern w:val="0"/>
                <w:sz w:val="15"/>
                <w:szCs w:val="15"/>
              </w:rPr>
              <w:t>保地规定的定点医疗机构开具的转诊转院单</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15</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其他临时外出就医人员备案</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002036004005</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2.《异地就医登记备案表》</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即时办结</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bl>
    <w:p>
      <w:pPr>
        <w:widowControl/>
        <w:snapToGrid w:val="0"/>
        <w:jc w:val="center"/>
        <w:rPr>
          <w:rFonts w:ascii="Times New Roman" w:hAnsi="Times New Roman" w:cs="Times New Roman"/>
          <w:spacing w:val="-4"/>
          <w:w w:val="98"/>
          <w:kern w:val="0"/>
          <w:sz w:val="15"/>
          <w:szCs w:val="15"/>
        </w:rPr>
        <w:sectPr>
          <w:footerReference r:id="rId5" w:type="default"/>
          <w:pgSz w:w="16838" w:h="11906" w:orient="landscape"/>
          <w:pgMar w:top="1474" w:right="2098" w:bottom="1474" w:left="2098" w:header="851" w:footer="992" w:gutter="0"/>
          <w:cols w:space="425" w:num="1"/>
          <w:docGrid w:type="lines" w:linePitch="312" w:charSpace="0"/>
        </w:sectPr>
      </w:pPr>
    </w:p>
    <w:tbl>
      <w:tblPr>
        <w:tblStyle w:val="9"/>
        <w:tblW w:w="12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6"/>
        <w:gridCol w:w="714"/>
        <w:gridCol w:w="420"/>
        <w:gridCol w:w="952"/>
        <w:gridCol w:w="700"/>
        <w:gridCol w:w="2254"/>
        <w:gridCol w:w="783"/>
        <w:gridCol w:w="1008"/>
        <w:gridCol w:w="2646"/>
        <w:gridCol w:w="2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6"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p>
          <w:p>
            <w:pPr>
              <w:widowControl/>
              <w:snapToGrid w:val="0"/>
              <w:jc w:val="center"/>
              <w:rPr>
                <w:rFonts w:ascii="Times New Roman" w:hAnsi="Times New Roman" w:eastAsia="仿宋_GB2312" w:cs="Times New Roman"/>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主项</w:t>
            </w:r>
          </w:p>
        </w:tc>
        <w:tc>
          <w:tcPr>
            <w:tcW w:w="71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主项编码</w:t>
            </w:r>
          </w:p>
        </w:tc>
        <w:tc>
          <w:tcPr>
            <w:tcW w:w="420"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序号</w:t>
            </w:r>
          </w:p>
        </w:tc>
        <w:tc>
          <w:tcPr>
            <w:tcW w:w="95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tc>
        <w:tc>
          <w:tcPr>
            <w:tcW w:w="70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子项编码</w:t>
            </w:r>
          </w:p>
        </w:tc>
        <w:tc>
          <w:tcPr>
            <w:tcW w:w="225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办理材料</w:t>
            </w:r>
          </w:p>
        </w:tc>
        <w:tc>
          <w:tcPr>
            <w:tcW w:w="783"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办理时限</w:t>
            </w:r>
          </w:p>
        </w:tc>
        <w:tc>
          <w:tcPr>
            <w:tcW w:w="1008"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办理环节</w:t>
            </w:r>
          </w:p>
        </w:tc>
        <w:tc>
          <w:tcPr>
            <w:tcW w:w="2646"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备注</w:t>
            </w:r>
          </w:p>
        </w:tc>
        <w:tc>
          <w:tcPr>
            <w:tcW w:w="269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设定依据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5" w:hRule="atLeast"/>
          <w:jc w:val="center"/>
        </w:trPr>
        <w:tc>
          <w:tcPr>
            <w:tcW w:w="536" w:type="dxa"/>
            <w:shd w:val="clear" w:color="auto" w:fill="auto"/>
            <w:vAlign w:val="center"/>
          </w:tcPr>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五、基本</w:t>
            </w:r>
            <w:r>
              <w:rPr>
                <w:rFonts w:ascii="Times New Roman" w:hAnsi="Times New Roman" w:cs="Times New Roman"/>
                <w:spacing w:val="-10"/>
                <w:w w:val="98"/>
                <w:kern w:val="0"/>
                <w:sz w:val="15"/>
                <w:szCs w:val="15"/>
              </w:rPr>
              <w:t>医疗保险参保人员享受门诊慢特病病种待遇认定</w:t>
            </w:r>
          </w:p>
        </w:tc>
        <w:tc>
          <w:tcPr>
            <w:tcW w:w="714" w:type="dxa"/>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002036005000</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16</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基本医疗保险参保人员享受门诊慢特病病种待遇认定</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002036005000</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12"/>
                <w:w w:val="98"/>
                <w:kern w:val="0"/>
                <w:sz w:val="15"/>
                <w:szCs w:val="15"/>
              </w:rPr>
              <w:t>2.《门诊慢特病病种待遇认定申请表》</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3.病历资料或检查资料</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不超过20个工作日 </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1.鼓励将门诊慢特病病种待遇认定下沉到符合要求的定点医疗机构，由定点医疗机构“一站式”受理，经办机构对医疗机构认定情况进行有效监管；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2.鼓励各地为群众提供线上办理渠道。</w:t>
            </w:r>
          </w:p>
        </w:tc>
        <w:tc>
          <w:tcPr>
            <w:tcW w:w="269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1.《劳动和社会保障部办公厅关于妥善解决医疗保险制度改革有关问题的指导意见》（劳社厅发〔2002〕8号）；</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w:t>
            </w:r>
            <w:r>
              <w:rPr>
                <w:rFonts w:ascii="Times New Roman" w:hAnsi="Times New Roman" w:cs="Times New Roman"/>
                <w:spacing w:val="-8"/>
                <w:w w:val="98"/>
                <w:kern w:val="0"/>
                <w:sz w:val="15"/>
                <w:szCs w:val="15"/>
              </w:rPr>
              <w:t>《卫生部 财政部 国家中医药管理局关于完善新型农村合作医疗统筹补偿方案的指导意见》（卫农卫发〔2007〕253号）；</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3.劳动和社会保障部等部委《关于城镇居民基本医疗保险医疗服务管理的意见》（劳社部发〔2007〕40号）；</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4.《国务院关于整合城乡居民基本医疗保险制度的意见》（国发〔2016〕3号）。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78" w:hRule="atLeast"/>
          <w:jc w:val="center"/>
        </w:trPr>
        <w:tc>
          <w:tcPr>
            <w:tcW w:w="536" w:type="dxa"/>
            <w:vMerge w:val="restart"/>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六、基</w:t>
            </w:r>
            <w:r>
              <w:rPr>
                <w:rFonts w:ascii="Times New Roman" w:hAnsi="Times New Roman" w:cs="Times New Roman"/>
                <w:spacing w:val="-10"/>
                <w:w w:val="98"/>
                <w:kern w:val="0"/>
                <w:sz w:val="15"/>
                <w:szCs w:val="15"/>
              </w:rPr>
              <w:t>本医疗保险参保人员医疗费用手工（零星）报销</w:t>
            </w: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00203600600Y</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17</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门诊费用报销</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002036006001</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2.医药机构收费票据</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3.门急诊费用清单</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4.处方底方</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不超过30个工作日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hint="eastAsia" w:ascii="Times New Roman" w:hAnsi="Times New Roman" w:cs="Times New Roman"/>
                <w:spacing w:val="-10"/>
                <w:w w:val="98"/>
                <w:kern w:val="0"/>
                <w:sz w:val="15"/>
                <w:szCs w:val="15"/>
              </w:rPr>
              <w:t>1.</w:t>
            </w:r>
            <w:r>
              <w:rPr>
                <w:rFonts w:ascii="Times New Roman" w:hAnsi="Times New Roman" w:cs="Times New Roman"/>
                <w:spacing w:val="-10"/>
                <w:w w:val="98"/>
                <w:kern w:val="0"/>
                <w:sz w:val="15"/>
                <w:szCs w:val="15"/>
              </w:rPr>
              <w:t>急诊可要求提供急诊诊断证明</w:t>
            </w:r>
            <w:r>
              <w:rPr>
                <w:rFonts w:ascii="Times New Roman" w:hAnsi="Times New Roman" w:cs="Times New Roman"/>
                <w:spacing w:val="-4"/>
                <w:w w:val="98"/>
                <w:kern w:val="0"/>
                <w:sz w:val="15"/>
                <w:szCs w:val="15"/>
              </w:rPr>
              <w:t>；</w:t>
            </w:r>
            <w:r>
              <w:rPr>
                <w:rFonts w:ascii="Times New Roman" w:hAnsi="Times New Roman" w:cs="Times New Roman"/>
                <w:spacing w:val="-10"/>
                <w:w w:val="98"/>
                <w:kern w:val="0"/>
                <w:sz w:val="15"/>
                <w:szCs w:val="15"/>
              </w:rPr>
              <w:br w:type="textWrapping"/>
            </w:r>
            <w:r>
              <w:rPr>
                <w:rFonts w:ascii="Times New Roman" w:hAnsi="Times New Roman" w:cs="Times New Roman"/>
                <w:spacing w:val="-4"/>
                <w:w w:val="98"/>
                <w:kern w:val="0"/>
                <w:sz w:val="15"/>
                <w:szCs w:val="15"/>
              </w:rPr>
              <w:t>2.意外伤害就医的应提供交警事故认定书或法院判决书或调解协议书等公检法部门出具的相关证明材料复印件一份，无法提供的应填写个人承诺书；</w:t>
            </w:r>
          </w:p>
          <w:p>
            <w:pPr>
              <w:widowControl/>
              <w:snapToGrid w:val="0"/>
              <w:jc w:val="left"/>
              <w:rPr>
                <w:rFonts w:ascii="Times New Roman" w:hAnsi="Times New Roman" w:cs="Times New Roman"/>
                <w:spacing w:val="-10"/>
                <w:w w:val="98"/>
                <w:kern w:val="0"/>
                <w:sz w:val="15"/>
                <w:szCs w:val="15"/>
              </w:rPr>
            </w:pPr>
            <w:r>
              <w:rPr>
                <w:rFonts w:hint="eastAsia" w:ascii="Times New Roman" w:hAnsi="Times New Roman" w:cs="Times New Roman"/>
                <w:spacing w:val="-10"/>
                <w:w w:val="98"/>
                <w:kern w:val="0"/>
                <w:sz w:val="15"/>
                <w:szCs w:val="15"/>
              </w:rPr>
              <w:t>3.普通门诊费用报销，特殊情况无法提供处方底方的，可要求提供个人承诺书；</w:t>
            </w:r>
            <w:r>
              <w:rPr>
                <w:rFonts w:ascii="Times New Roman" w:hAnsi="Times New Roman" w:cs="Times New Roman"/>
                <w:spacing w:val="-10"/>
                <w:w w:val="98"/>
                <w:kern w:val="0"/>
                <w:sz w:val="15"/>
                <w:szCs w:val="15"/>
              </w:rPr>
              <w:br w:type="textWrapping"/>
            </w:r>
            <w:r>
              <w:rPr>
                <w:rFonts w:hint="eastAsia" w:ascii="Times New Roman" w:hAnsi="Times New Roman" w:cs="Times New Roman"/>
                <w:spacing w:val="-10"/>
                <w:w w:val="98"/>
                <w:kern w:val="0"/>
                <w:sz w:val="15"/>
                <w:szCs w:val="15"/>
              </w:rPr>
              <w:t>4</w:t>
            </w:r>
            <w:r>
              <w:rPr>
                <w:rFonts w:ascii="Times New Roman" w:hAnsi="Times New Roman" w:cs="Times New Roman"/>
                <w:spacing w:val="-10"/>
                <w:w w:val="98"/>
                <w:kern w:val="0"/>
                <w:sz w:val="15"/>
                <w:szCs w:val="15"/>
              </w:rPr>
              <w:t>.</w:t>
            </w:r>
            <w:r>
              <w:rPr>
                <w:rFonts w:hint="eastAsia" w:ascii="Times New Roman" w:hAnsi="Times New Roman" w:cs="Times New Roman"/>
                <w:spacing w:val="-10"/>
                <w:w w:val="98"/>
                <w:kern w:val="0"/>
                <w:sz w:val="15"/>
                <w:szCs w:val="15"/>
              </w:rPr>
              <w:t>住院费用报销，</w:t>
            </w:r>
            <w:r>
              <w:rPr>
                <w:rFonts w:ascii="Times New Roman" w:hAnsi="Times New Roman" w:cs="Times New Roman"/>
                <w:spacing w:val="-10"/>
                <w:w w:val="98"/>
                <w:kern w:val="0"/>
                <w:sz w:val="15"/>
                <w:szCs w:val="15"/>
              </w:rPr>
              <w:t>特殊情况可要求提供病历中的佐证资料。</w:t>
            </w:r>
          </w:p>
        </w:tc>
        <w:tc>
          <w:tcPr>
            <w:tcW w:w="2692" w:type="dxa"/>
            <w:vMerge w:val="restart"/>
            <w:shd w:val="clear" w:color="auto" w:fill="auto"/>
            <w:vAlign w:val="center"/>
          </w:tcPr>
          <w:p>
            <w:pPr>
              <w:widowControl/>
              <w:snapToGrid w:val="0"/>
              <w:jc w:val="left"/>
              <w:rPr>
                <w:rFonts w:ascii="Times New Roman" w:hAnsi="Times New Roman" w:cs="Times New Roman"/>
                <w:spacing w:val="-10"/>
                <w:w w:val="98"/>
                <w:kern w:val="0"/>
                <w:sz w:val="15"/>
                <w:szCs w:val="15"/>
              </w:rPr>
            </w:pPr>
            <w:r>
              <w:rPr>
                <w:rFonts w:ascii="Times New Roman" w:hAnsi="Times New Roman" w:cs="Times New Roman"/>
                <w:spacing w:val="-10"/>
                <w:w w:val="98"/>
                <w:kern w:val="0"/>
                <w:sz w:val="15"/>
                <w:szCs w:val="15"/>
              </w:rPr>
              <w:t>1.《中华人民共和国社会保险法》第二十八条、第三十条；</w:t>
            </w:r>
            <w:r>
              <w:rPr>
                <w:rFonts w:ascii="Times New Roman" w:hAnsi="Times New Roman" w:cs="Times New Roman"/>
                <w:spacing w:val="-10"/>
                <w:w w:val="98"/>
                <w:kern w:val="0"/>
                <w:sz w:val="15"/>
                <w:szCs w:val="15"/>
              </w:rPr>
              <w:br w:type="textWrapping"/>
            </w:r>
            <w:r>
              <w:rPr>
                <w:rFonts w:ascii="Times New Roman" w:hAnsi="Times New Roman" w:cs="Times New Roman"/>
                <w:spacing w:val="-10"/>
                <w:w w:val="98"/>
                <w:kern w:val="0"/>
                <w:sz w:val="15"/>
                <w:szCs w:val="15"/>
              </w:rPr>
              <w:t>2.《社会保险经办条例》（国务院令第765号）第二十条。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87"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18</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住院费用报销</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002036006002</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2.医院收费票据</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3.住院费用清单</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4.出院记录</w:t>
            </w:r>
            <w:r>
              <w:rPr>
                <w:rFonts w:hint="eastAsia" w:ascii="Times New Roman" w:hAnsi="Times New Roman" w:cs="Times New Roman"/>
                <w:color w:val="000000" w:themeColor="text1"/>
                <w:spacing w:val="-4"/>
                <w:w w:val="98"/>
                <w:kern w:val="0"/>
                <w:sz w:val="15"/>
                <w:szCs w:val="15"/>
                <w14:textFill>
                  <w14:solidFill>
                    <w14:schemeClr w14:val="tx1"/>
                  </w14:solidFill>
                </w14:textFill>
              </w:rPr>
              <w:t>/</w:t>
            </w:r>
            <w:r>
              <w:rPr>
                <w:rFonts w:ascii="Times New Roman" w:hAnsi="Times New Roman" w:cs="Times New Roman"/>
                <w:color w:val="000000" w:themeColor="text1"/>
                <w:spacing w:val="-4"/>
                <w:w w:val="98"/>
                <w:kern w:val="0"/>
                <w:sz w:val="15"/>
                <w:szCs w:val="15"/>
                <w14:textFill>
                  <w14:solidFill>
                    <w14:schemeClr w14:val="tx1"/>
                  </w14:solidFill>
                </w14:textFill>
              </w:rPr>
              <w:t>出院证</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不超过30个工作日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bl>
    <w:p>
      <w:pPr>
        <w:widowControl/>
        <w:snapToGrid w:val="0"/>
        <w:jc w:val="center"/>
        <w:rPr>
          <w:rFonts w:ascii="Times New Roman" w:hAnsi="Times New Roman" w:cs="Times New Roman"/>
          <w:spacing w:val="-4"/>
          <w:w w:val="98"/>
          <w:kern w:val="0"/>
          <w:sz w:val="15"/>
          <w:szCs w:val="15"/>
        </w:rPr>
        <w:sectPr>
          <w:footerReference r:id="rId6" w:type="default"/>
          <w:pgSz w:w="16838" w:h="11906" w:orient="landscape"/>
          <w:pgMar w:top="1474" w:right="2098" w:bottom="1474" w:left="2098" w:header="851" w:footer="992" w:gutter="0"/>
          <w:cols w:space="425" w:num="1"/>
          <w:docGrid w:type="lines" w:linePitch="312" w:charSpace="0"/>
        </w:sectPr>
      </w:pPr>
    </w:p>
    <w:tbl>
      <w:tblPr>
        <w:tblStyle w:val="9"/>
        <w:tblW w:w="12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6"/>
        <w:gridCol w:w="714"/>
        <w:gridCol w:w="420"/>
        <w:gridCol w:w="952"/>
        <w:gridCol w:w="700"/>
        <w:gridCol w:w="2254"/>
        <w:gridCol w:w="783"/>
        <w:gridCol w:w="1008"/>
        <w:gridCol w:w="2646"/>
        <w:gridCol w:w="2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6"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主项</w:t>
            </w:r>
          </w:p>
        </w:tc>
        <w:tc>
          <w:tcPr>
            <w:tcW w:w="71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主项编码</w:t>
            </w:r>
          </w:p>
        </w:tc>
        <w:tc>
          <w:tcPr>
            <w:tcW w:w="420" w:type="dxa"/>
            <w:shd w:val="clear" w:color="auto" w:fill="auto"/>
            <w:vAlign w:val="center"/>
          </w:tcPr>
          <w:p>
            <w:pPr>
              <w:widowControl/>
              <w:snapToGrid w:val="0"/>
              <w:jc w:val="center"/>
              <w:rPr>
                <w:rFonts w:ascii="Times New Roman" w:hAnsi="Times New Roman" w:eastAsia="黑体" w:cs="Times New Roman"/>
                <w:spacing w:val="-4"/>
                <w:w w:val="98"/>
                <w:kern w:val="0"/>
                <w:sz w:val="15"/>
                <w:szCs w:val="15"/>
              </w:rPr>
            </w:pPr>
            <w:r>
              <w:rPr>
                <w:rFonts w:ascii="Times New Roman" w:hAnsi="Times New Roman" w:eastAsia="黑体" w:cs="Times New Roman"/>
                <w:spacing w:val="-4"/>
                <w:w w:val="98"/>
                <w:kern w:val="0"/>
                <w:sz w:val="15"/>
                <w:szCs w:val="15"/>
              </w:rPr>
              <w:t>子项</w:t>
            </w:r>
          </w:p>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序号</w:t>
            </w:r>
          </w:p>
        </w:tc>
        <w:tc>
          <w:tcPr>
            <w:tcW w:w="95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子项</w:t>
            </w:r>
          </w:p>
        </w:tc>
        <w:tc>
          <w:tcPr>
            <w:tcW w:w="70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子项编码</w:t>
            </w:r>
          </w:p>
        </w:tc>
        <w:tc>
          <w:tcPr>
            <w:tcW w:w="225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办理材料</w:t>
            </w:r>
          </w:p>
        </w:tc>
        <w:tc>
          <w:tcPr>
            <w:tcW w:w="783"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办理时限</w:t>
            </w:r>
          </w:p>
        </w:tc>
        <w:tc>
          <w:tcPr>
            <w:tcW w:w="1008"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办理环节</w:t>
            </w:r>
          </w:p>
        </w:tc>
        <w:tc>
          <w:tcPr>
            <w:tcW w:w="2646"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备注</w:t>
            </w:r>
          </w:p>
        </w:tc>
        <w:tc>
          <w:tcPr>
            <w:tcW w:w="269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设定依据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536" w:type="dxa"/>
            <w:vMerge w:val="restart"/>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七、生育保险待遇核准支付</w:t>
            </w: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00203600700Y</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19</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产前检查费支付</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002036007001</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z w:val="15"/>
                <w:szCs w:val="15"/>
              </w:rPr>
              <w:t>1</w:t>
            </w:r>
            <w:r>
              <w:rPr>
                <w:rFonts w:ascii="Times New Roman" w:hAnsi="Times New Roman" w:cs="Times New Roman"/>
                <w:spacing w:val="-4"/>
                <w:w w:val="98"/>
                <w:kern w:val="0"/>
                <w:sz w:val="15"/>
                <w:szCs w:val="15"/>
              </w:rPr>
              <w:t>.有效身份证件或医保电子凭证或社会保障卡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2.医院收费票据</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3.费用清单</w:t>
            </w:r>
          </w:p>
          <w:p>
            <w:pPr>
              <w:widowControl/>
              <w:snapToGrid w:val="0"/>
              <w:jc w:val="left"/>
              <w:rPr>
                <w:rFonts w:ascii="Times New Roman" w:hAnsi="Times New Roman" w:cs="Times New Roman"/>
              </w:rPr>
            </w:pPr>
            <w:r>
              <w:rPr>
                <w:rFonts w:ascii="Times New Roman" w:hAnsi="Times New Roman" w:cs="Times New Roman"/>
                <w:spacing w:val="-4"/>
                <w:w w:val="98"/>
                <w:kern w:val="0"/>
                <w:sz w:val="15"/>
                <w:szCs w:val="15"/>
              </w:rPr>
              <w:t>4.诊断证明</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不超过20个工作日 </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10"/>
                <w:w w:val="98"/>
                <w:kern w:val="0"/>
                <w:sz w:val="15"/>
                <w:szCs w:val="15"/>
              </w:rPr>
              <w:t>合并支付的一次性提供材料；</w:t>
            </w:r>
            <w:r>
              <w:rPr>
                <w:rFonts w:ascii="Times New Roman" w:hAnsi="Times New Roman" w:cs="Times New Roman"/>
                <w:spacing w:val="-10"/>
                <w:w w:val="98"/>
                <w:kern w:val="0"/>
                <w:sz w:val="15"/>
                <w:szCs w:val="15"/>
              </w:rPr>
              <w:br w:type="textWrapping"/>
            </w:r>
            <w:r>
              <w:rPr>
                <w:rFonts w:ascii="Times New Roman" w:hAnsi="Times New Roman" w:cs="Times New Roman"/>
                <w:spacing w:val="-10"/>
                <w:w w:val="98"/>
                <w:kern w:val="0"/>
                <w:sz w:val="15"/>
                <w:szCs w:val="15"/>
              </w:rPr>
              <w:t>2.特殊情况可要求提供病历中的佐证资料。</w:t>
            </w:r>
          </w:p>
        </w:tc>
        <w:tc>
          <w:tcPr>
            <w:tcW w:w="2692"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10"/>
                <w:w w:val="98"/>
                <w:kern w:val="0"/>
                <w:sz w:val="15"/>
                <w:szCs w:val="15"/>
              </w:rPr>
              <w:t>.《中华人民共和国社会保险法》第五十四条、第五十五条；</w:t>
            </w:r>
            <w:r>
              <w:rPr>
                <w:rFonts w:ascii="Times New Roman" w:hAnsi="Times New Roman" w:cs="Times New Roman"/>
                <w:spacing w:val="-10"/>
                <w:w w:val="98"/>
                <w:kern w:val="0"/>
                <w:sz w:val="15"/>
                <w:szCs w:val="15"/>
              </w:rPr>
              <w:br w:type="textWrapping"/>
            </w:r>
            <w:r>
              <w:rPr>
                <w:rFonts w:ascii="Times New Roman" w:hAnsi="Times New Roman" w:cs="Times New Roman"/>
                <w:spacing w:val="-10"/>
                <w:w w:val="98"/>
                <w:kern w:val="0"/>
                <w:sz w:val="15"/>
                <w:szCs w:val="15"/>
              </w:rPr>
              <w:t>2.《社会保险经办条例》（国务院令第765号）第二十条。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20</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生育医疗费支付</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002036007002</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2.医院收费票据</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3.费用清单</w:t>
            </w:r>
            <w:r>
              <w:rPr>
                <w:rFonts w:ascii="Times New Roman" w:hAnsi="Times New Roman" w:cs="Times New Roman"/>
                <w:spacing w:val="-4"/>
                <w:w w:val="98"/>
                <w:kern w:val="0"/>
                <w:sz w:val="15"/>
                <w:szCs w:val="15"/>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4.出院记录</w:t>
            </w:r>
            <w:r>
              <w:rPr>
                <w:rFonts w:hint="eastAsia" w:ascii="Times New Roman" w:hAnsi="Times New Roman" w:cs="Times New Roman"/>
                <w:color w:val="000000" w:themeColor="text1"/>
                <w:spacing w:val="-4"/>
                <w:w w:val="98"/>
                <w:kern w:val="0"/>
                <w:sz w:val="15"/>
                <w:szCs w:val="15"/>
                <w14:textFill>
                  <w14:solidFill>
                    <w14:schemeClr w14:val="tx1"/>
                  </w14:solidFill>
                </w14:textFill>
              </w:rPr>
              <w:t>/</w:t>
            </w:r>
            <w:r>
              <w:rPr>
                <w:rFonts w:ascii="Times New Roman" w:hAnsi="Times New Roman" w:cs="Times New Roman"/>
                <w:color w:val="000000" w:themeColor="text1"/>
                <w:spacing w:val="-4"/>
                <w:w w:val="98"/>
                <w:kern w:val="0"/>
                <w:sz w:val="15"/>
                <w:szCs w:val="15"/>
                <w14:textFill>
                  <w14:solidFill>
                    <w14:schemeClr w14:val="tx1"/>
                  </w14:solidFill>
                </w14:textFill>
              </w:rPr>
              <w:t>出院证</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不超过20个工作日 </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21</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计划生育医疗费支付</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002036007003</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2.医院收费票据</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w:t>
            </w:r>
            <w:r>
              <w:rPr>
                <w:rFonts w:ascii="Times New Roman" w:hAnsi="Times New Roman" w:cs="Times New Roman"/>
                <w:color w:val="000000" w:themeColor="text1"/>
                <w:spacing w:val="-4"/>
                <w:w w:val="98"/>
                <w:kern w:val="0"/>
                <w:sz w:val="15"/>
                <w:szCs w:val="15"/>
                <w14:textFill>
                  <w14:solidFill>
                    <w14:schemeClr w14:val="tx1"/>
                  </w14:solidFill>
                </w14:textFill>
              </w:rPr>
              <w:t>费用清单</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4.诊断证明（门诊）/出院记录（住院）/出院证（住院）</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xml:space="preserve">不超过20个工作日 </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22</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生育津贴支付</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002036007004</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w:t>
            </w:r>
            <w:r>
              <w:rPr>
                <w:rFonts w:ascii="Times New Roman" w:hAnsi="Times New Roman" w:cs="Times New Roman"/>
                <w:color w:val="000000" w:themeColor="text1"/>
                <w:spacing w:val="-4"/>
                <w:w w:val="98"/>
                <w:kern w:val="0"/>
                <w:sz w:val="15"/>
                <w:szCs w:val="15"/>
                <w14:textFill>
                  <w14:solidFill>
                    <w14:schemeClr w14:val="tx1"/>
                  </w14:solidFill>
                </w14:textFill>
              </w:rPr>
              <w:t>.诊断证明（门诊）/出院记录（住院）/出院证（住院）</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不超过10个工作日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536" w:type="dxa"/>
            <w:vMerge w:val="restart"/>
            <w:shd w:val="clear" w:color="auto" w:fill="auto"/>
            <w:vAlign w:val="center"/>
          </w:tcPr>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p>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八、医疗救助对象待遇核准支付</w:t>
            </w: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00203600800Y</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23</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符合资助条</w:t>
            </w:r>
            <w:r>
              <w:rPr>
                <w:rFonts w:ascii="Times New Roman" w:hAnsi="Times New Roman" w:cs="Times New Roman"/>
                <w:spacing w:val="-2"/>
                <w:w w:val="98"/>
                <w:kern w:val="0"/>
                <w:sz w:val="15"/>
                <w:szCs w:val="15"/>
              </w:rPr>
              <w:t>件的救助对象参加城乡居民基本医疗保险个人缴费补贴</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002036008001</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1.救助对象身份证明</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2.个人缴纳基本医保参保费用有效凭证</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不超过15个工作日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1.本事项适用于符合医疗救助资助参保条件，在集中参保缴费期已先行全额缴纳城乡居民医保费个人应缴部分的救助对象；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2.有条件的地区可与相关部门联网实时推送救助对象身份信息。</w:t>
            </w:r>
          </w:p>
        </w:tc>
        <w:tc>
          <w:tcPr>
            <w:tcW w:w="2692"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w:t>
            </w:r>
            <w:r>
              <w:rPr>
                <w:rFonts w:ascii="Times New Roman" w:hAnsi="Times New Roman" w:cs="Times New Roman"/>
                <w:spacing w:val="-10"/>
                <w:w w:val="98"/>
                <w:kern w:val="0"/>
                <w:sz w:val="15"/>
                <w:szCs w:val="15"/>
              </w:rPr>
              <w:t>《社会救助暂行办法》（国务院令第649号）第二十九条；</w:t>
            </w:r>
            <w:r>
              <w:rPr>
                <w:rFonts w:ascii="Times New Roman" w:hAnsi="Times New Roman" w:cs="Times New Roman"/>
                <w:spacing w:val="-4"/>
                <w:w w:val="98"/>
                <w:kern w:val="0"/>
                <w:sz w:val="15"/>
                <w:szCs w:val="15"/>
              </w:rPr>
              <w:br w:type="textWrapping"/>
            </w:r>
            <w:r>
              <w:rPr>
                <w:rFonts w:ascii="Times New Roman" w:hAnsi="Times New Roman" w:cs="Times New Roman"/>
                <w:spacing w:val="-6"/>
                <w:w w:val="98"/>
                <w:kern w:val="0"/>
                <w:sz w:val="15"/>
                <w:szCs w:val="15"/>
              </w:rPr>
              <w:t>2.《财政部 民政部关于印发〈城乡医疗救助基金管理办法〉的通知》（财社〔2013〕217号）第八条；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3.《国务院办公厅关于健全重特大疾病医疗保险和救助制度的意见》（国办发〔2021〕42号）</w:t>
            </w:r>
            <w:r>
              <w:rPr>
                <w:rFonts w:hint="eastAsia" w:ascii="Times New Roman" w:hAnsi="Times New Roman" w:cs="Times New Roman"/>
                <w:spacing w:val="-4"/>
                <w:w w:val="98"/>
                <w:kern w:val="0"/>
                <w:sz w:val="15"/>
                <w:szCs w:val="15"/>
              </w:rPr>
              <w:t>、</w:t>
            </w:r>
            <w:r>
              <w:rPr>
                <w:rFonts w:hint="eastAsia" w:ascii="宋体" w:hAnsi="宋体" w:cs="宋体"/>
                <w:color w:val="000000" w:themeColor="text1"/>
                <w:spacing w:val="-4"/>
                <w:w w:val="98"/>
                <w:kern w:val="0"/>
                <w:sz w:val="15"/>
                <w:szCs w:val="15"/>
                <w14:textFill>
                  <w14:solidFill>
                    <w14:schemeClr w14:val="tx1"/>
                  </w14:solidFill>
                </w14:textFill>
              </w:rPr>
              <w:t>《兵团关于健全重特大疾病医疗保险和救助制度的实施意见》（新兵办发〔2022〕31号）。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4"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24</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医疗救助对象手工（零星）报销</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002036008002</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1.有效身份证件或医保电子凭证或社会保障卡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2.基本医保、大病保险报销后的结算单、定点医疗机构处方底方或定点药店购药发票</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不超过30个工作日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shd w:val="clear" w:color="auto" w:fill="auto"/>
            <w:vAlign w:val="center"/>
          </w:tcPr>
          <w:p>
            <w:pPr>
              <w:widowControl/>
              <w:numPr>
                <w:ilvl w:val="0"/>
                <w:numId w:val="1"/>
              </w:numPr>
              <w:snapToGrid w:val="0"/>
              <w:jc w:val="left"/>
              <w:rPr>
                <w:rFonts w:ascii="Times New Roman" w:hAnsi="Times New Roman" w:cs="Times New Roman"/>
                <w:spacing w:val="-4"/>
                <w:w w:val="98"/>
                <w:kern w:val="0"/>
                <w:sz w:val="15"/>
                <w:szCs w:val="15"/>
              </w:rPr>
            </w:pPr>
            <w:r>
              <w:rPr>
                <w:rFonts w:ascii="Times New Roman" w:hAnsi="Times New Roman" w:cs="Times New Roman"/>
                <w:spacing w:val="-8"/>
                <w:w w:val="98"/>
                <w:kern w:val="0"/>
                <w:sz w:val="15"/>
                <w:szCs w:val="15"/>
              </w:rPr>
              <w:t>与其他费用合并支付的一次性提供材料；</w:t>
            </w:r>
          </w:p>
          <w:p>
            <w:pPr>
              <w:widowControl/>
              <w:numPr>
                <w:ilvl w:val="0"/>
                <w:numId w:val="1"/>
              </w:numPr>
              <w:snapToGrid w:val="0"/>
              <w:jc w:val="left"/>
              <w:rPr>
                <w:rFonts w:ascii="宋体" w:hAnsi="宋体" w:cs="宋体"/>
                <w:color w:val="000000" w:themeColor="text1"/>
                <w:spacing w:val="-4"/>
                <w:w w:val="98"/>
                <w:kern w:val="0"/>
                <w:sz w:val="15"/>
                <w:szCs w:val="15"/>
                <w14:textFill>
                  <w14:solidFill>
                    <w14:schemeClr w14:val="tx1"/>
                  </w14:solidFill>
                </w14:textFill>
              </w:rPr>
            </w:pPr>
            <w:r>
              <w:rPr>
                <w:rFonts w:hint="eastAsia" w:ascii="宋体" w:hAnsi="宋体" w:cs="宋体"/>
                <w:color w:val="000000" w:themeColor="text1"/>
                <w:spacing w:val="-4"/>
                <w:w w:val="98"/>
                <w:kern w:val="0"/>
                <w:sz w:val="15"/>
                <w:szCs w:val="15"/>
                <w14:textFill>
                  <w14:solidFill>
                    <w14:schemeClr w14:val="tx1"/>
                  </w14:solidFill>
                </w14:textFill>
              </w:rPr>
              <w:t>未在兵团参保的，还应提供经民政、农业农村等部门认定的《医疗救助申请表》。</w:t>
            </w:r>
          </w:p>
          <w:p>
            <w:pPr>
              <w:widowControl/>
              <w:snapToGrid w:val="0"/>
              <w:jc w:val="left"/>
              <w:rPr>
                <w:rFonts w:ascii="Times New Roman" w:hAnsi="Times New Roman" w:cs="Times New Roman"/>
                <w:spacing w:val="-4"/>
                <w:w w:val="98"/>
                <w:kern w:val="0"/>
                <w:sz w:val="15"/>
                <w:szCs w:val="15"/>
              </w:rPr>
            </w:pPr>
          </w:p>
        </w:tc>
        <w:tc>
          <w:tcPr>
            <w:tcW w:w="2692" w:type="dxa"/>
            <w:vMerge w:val="continue"/>
            <w:vAlign w:val="center"/>
          </w:tcPr>
          <w:p>
            <w:pPr>
              <w:widowControl/>
              <w:snapToGrid w:val="0"/>
              <w:jc w:val="left"/>
              <w:rPr>
                <w:rFonts w:ascii="Times New Roman" w:hAnsi="Times New Roman" w:cs="Times New Roman"/>
                <w:spacing w:val="-4"/>
                <w:w w:val="98"/>
                <w:kern w:val="0"/>
                <w:sz w:val="15"/>
                <w:szCs w:val="15"/>
              </w:rPr>
            </w:pPr>
          </w:p>
        </w:tc>
      </w:tr>
    </w:tbl>
    <w:p>
      <w:pPr>
        <w:widowControl/>
        <w:snapToGrid w:val="0"/>
        <w:rPr>
          <w:rFonts w:ascii="Times New Roman" w:hAnsi="Times New Roman" w:cs="Times New Roman"/>
          <w:spacing w:val="-4"/>
          <w:w w:val="98"/>
          <w:kern w:val="0"/>
          <w:sz w:val="15"/>
          <w:szCs w:val="15"/>
        </w:rPr>
        <w:sectPr>
          <w:footerReference r:id="rId7" w:type="default"/>
          <w:pgSz w:w="16838" w:h="11906" w:orient="landscape"/>
          <w:pgMar w:top="1474" w:right="2098" w:bottom="1474" w:left="2098" w:header="851" w:footer="992" w:gutter="0"/>
          <w:cols w:space="425" w:num="1"/>
          <w:docGrid w:type="lines" w:linePitch="312" w:charSpace="0"/>
        </w:sectPr>
      </w:pPr>
    </w:p>
    <w:tbl>
      <w:tblPr>
        <w:tblStyle w:val="9"/>
        <w:tblW w:w="12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6"/>
        <w:gridCol w:w="714"/>
        <w:gridCol w:w="420"/>
        <w:gridCol w:w="952"/>
        <w:gridCol w:w="700"/>
        <w:gridCol w:w="2254"/>
        <w:gridCol w:w="783"/>
        <w:gridCol w:w="1008"/>
        <w:gridCol w:w="2646"/>
        <w:gridCol w:w="2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6" w:type="dxa"/>
            <w:shd w:val="clear" w:color="auto" w:fill="auto"/>
            <w:vAlign w:val="center"/>
          </w:tcPr>
          <w:p>
            <w:pPr>
              <w:widowControl/>
              <w:snapToGrid w:val="0"/>
              <w:rPr>
                <w:rFonts w:ascii="Times New Roman" w:hAnsi="Times New Roman" w:eastAsia="黑体" w:cs="Times New Roman"/>
                <w:spacing w:val="-4"/>
                <w:w w:val="98"/>
                <w:kern w:val="0"/>
                <w:sz w:val="15"/>
                <w:szCs w:val="15"/>
              </w:rPr>
            </w:pPr>
            <w:r>
              <w:rPr>
                <w:rFonts w:ascii="Times New Roman" w:hAnsi="Times New Roman" w:eastAsia="黑体" w:cs="Times New Roman"/>
                <w:spacing w:val="-4"/>
                <w:w w:val="98"/>
                <w:kern w:val="0"/>
                <w:sz w:val="15"/>
                <w:szCs w:val="15"/>
              </w:rPr>
              <w:t>主项</w:t>
            </w:r>
          </w:p>
        </w:tc>
        <w:tc>
          <w:tcPr>
            <w:tcW w:w="714" w:type="dxa"/>
            <w:shd w:val="clear" w:color="auto" w:fill="auto"/>
            <w:vAlign w:val="center"/>
          </w:tcPr>
          <w:p>
            <w:pPr>
              <w:widowControl/>
              <w:snapToGrid w:val="0"/>
              <w:jc w:val="center"/>
              <w:rPr>
                <w:rFonts w:ascii="Times New Roman" w:hAnsi="Times New Roman" w:eastAsia="黑体" w:cs="Times New Roman"/>
                <w:spacing w:val="-4"/>
                <w:w w:val="98"/>
                <w:kern w:val="0"/>
                <w:sz w:val="15"/>
                <w:szCs w:val="15"/>
              </w:rPr>
            </w:pPr>
            <w:r>
              <w:rPr>
                <w:rFonts w:ascii="Times New Roman" w:hAnsi="Times New Roman" w:eastAsia="黑体" w:cs="Times New Roman"/>
                <w:spacing w:val="-4"/>
                <w:w w:val="98"/>
                <w:kern w:val="0"/>
                <w:sz w:val="15"/>
                <w:szCs w:val="15"/>
              </w:rPr>
              <w:t>主项编码</w:t>
            </w:r>
          </w:p>
        </w:tc>
        <w:tc>
          <w:tcPr>
            <w:tcW w:w="420" w:type="dxa"/>
            <w:shd w:val="clear" w:color="auto" w:fill="auto"/>
            <w:vAlign w:val="center"/>
          </w:tcPr>
          <w:p>
            <w:pPr>
              <w:widowControl/>
              <w:snapToGrid w:val="0"/>
              <w:jc w:val="center"/>
              <w:rPr>
                <w:rFonts w:ascii="Times New Roman" w:hAnsi="Times New Roman" w:eastAsia="黑体" w:cs="Times New Roman"/>
                <w:color w:val="000000" w:themeColor="text1"/>
                <w:spacing w:val="-4"/>
                <w:w w:val="98"/>
                <w:kern w:val="0"/>
                <w:sz w:val="15"/>
                <w:szCs w:val="15"/>
                <w14:textFill>
                  <w14:solidFill>
                    <w14:schemeClr w14:val="tx1"/>
                  </w14:solidFill>
                </w14:textFill>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序号</w:t>
            </w:r>
          </w:p>
        </w:tc>
        <w:tc>
          <w:tcPr>
            <w:tcW w:w="95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color w:val="000000" w:themeColor="text1"/>
                <w:spacing w:val="-4"/>
                <w:w w:val="98"/>
                <w:kern w:val="0"/>
                <w:sz w:val="15"/>
                <w:szCs w:val="15"/>
                <w14:textFill>
                  <w14:solidFill>
                    <w14:schemeClr w14:val="tx1"/>
                  </w14:solidFill>
                </w14:textFill>
              </w:rPr>
              <w:t>子项</w:t>
            </w:r>
          </w:p>
        </w:tc>
        <w:tc>
          <w:tcPr>
            <w:tcW w:w="70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子项编码</w:t>
            </w:r>
          </w:p>
        </w:tc>
        <w:tc>
          <w:tcPr>
            <w:tcW w:w="225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办理材料</w:t>
            </w:r>
          </w:p>
        </w:tc>
        <w:tc>
          <w:tcPr>
            <w:tcW w:w="783"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办理时限</w:t>
            </w:r>
          </w:p>
        </w:tc>
        <w:tc>
          <w:tcPr>
            <w:tcW w:w="1008"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办理环节</w:t>
            </w:r>
          </w:p>
        </w:tc>
        <w:tc>
          <w:tcPr>
            <w:tcW w:w="2646"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备注</w:t>
            </w:r>
          </w:p>
        </w:tc>
        <w:tc>
          <w:tcPr>
            <w:tcW w:w="269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设定依据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9" w:hRule="atLeast"/>
          <w:jc w:val="center"/>
        </w:trPr>
        <w:tc>
          <w:tcPr>
            <w:tcW w:w="536" w:type="dxa"/>
            <w:vMerge w:val="restart"/>
            <w:shd w:val="clear" w:color="auto" w:fill="auto"/>
            <w:vAlign w:val="center"/>
          </w:tcPr>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p>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九、医药机构申请定点协议管理</w:t>
            </w: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w:t>
            </w:r>
            <w:r>
              <w:rPr>
                <w:rFonts w:hint="eastAsia" w:ascii="Times New Roman" w:hAnsi="Times New Roman" w:cs="Times New Roman"/>
                <w:spacing w:val="-4"/>
                <w:w w:val="98"/>
                <w:kern w:val="0"/>
                <w:sz w:val="15"/>
                <w:szCs w:val="15"/>
              </w:rPr>
              <w:t>0</w:t>
            </w:r>
            <w:r>
              <w:rPr>
                <w:rFonts w:ascii="Times New Roman" w:hAnsi="Times New Roman" w:cs="Times New Roman"/>
                <w:spacing w:val="-4"/>
                <w:w w:val="98"/>
                <w:kern w:val="0"/>
                <w:sz w:val="15"/>
                <w:szCs w:val="15"/>
              </w:rPr>
              <w:t>3600900Y</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25</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医疗机构申请定点协议管理</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002036009001</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1.《定点医疗机构申请表》</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2.医疗机构执业许可证或中医诊所备案证或诊所备案凭证或军队医疗机构为民服务许可证照复印件</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3.与医疗保障政策对应的内部管理制度和财务制度文本</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4.与医保有关的医疗机构信息系统相关材料</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5.纳入定点后使用医疗保障基金的预测性分析报告</w:t>
            </w:r>
            <w:r>
              <w:rPr>
                <w:rFonts w:ascii="Times New Roman" w:hAnsi="Times New Roman" w:cs="Times New Roman"/>
                <w:spacing w:val="-4"/>
                <w:w w:val="98"/>
                <w:kern w:val="0"/>
                <w:sz w:val="15"/>
                <w:szCs w:val="15"/>
              </w:rPr>
              <w:br w:type="textWrapping"/>
            </w:r>
            <w:r>
              <w:rPr>
                <w:rFonts w:ascii="Times New Roman" w:hAnsi="Times New Roman" w:cs="Times New Roman"/>
                <w:spacing w:val="-8"/>
                <w:w w:val="98"/>
                <w:kern w:val="0"/>
                <w:sz w:val="15"/>
                <w:szCs w:val="15"/>
              </w:rPr>
              <w:t>（以上办理资料均需加盖单位公章）</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不超过90个自然日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审核环节包括评估、公示、协商谈判、协议签订等。</w:t>
            </w:r>
          </w:p>
        </w:tc>
        <w:tc>
          <w:tcPr>
            <w:tcW w:w="2692"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1.《中华人民共和国社会保险法》第三十一条；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2.《医疗机构医疗保障定点管理暂行办法》（国家医疗保障局令第2号）第七条、第八条、第九条、第十条</w:t>
            </w:r>
            <w:r>
              <w:rPr>
                <w:rFonts w:hint="eastAsia" w:ascii="Times New Roman" w:hAnsi="Times New Roman" w:cs="Times New Roman"/>
                <w:color w:val="000000" w:themeColor="text1"/>
                <w:spacing w:val="-4"/>
                <w:w w:val="98"/>
                <w:kern w:val="0"/>
                <w:sz w:val="15"/>
                <w:szCs w:val="15"/>
                <w14:textFill>
                  <w14:solidFill>
                    <w14:schemeClr w14:val="tx1"/>
                  </w14:solidFill>
                </w14:textFill>
              </w:rPr>
              <w:t>；</w:t>
            </w:r>
          </w:p>
          <w:p>
            <w:pPr>
              <w:widowControl/>
              <w:snapToGrid w:val="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3.《关于印发&lt;新疆维吾尔自治区 新疆生产建设兵团医疗机构医疗保障定点管理评估实施细则&gt;&lt;新疆维吾尔自治区 新疆生产建设兵团零售药店医疗保障定点管理评估实施细则&gt;的通知》（新医保规〔2023〕2号）</w:t>
            </w:r>
            <w:r>
              <w:rPr>
                <w:rFonts w:hint="eastAsia" w:ascii="Times New Roman" w:hAnsi="Times New Roman" w:cs="Times New Roman"/>
                <w:color w:val="000000" w:themeColor="text1"/>
                <w:spacing w:val="-4"/>
                <w:w w:val="98"/>
                <w:kern w:val="0"/>
                <w:sz w:val="15"/>
                <w:szCs w:val="15"/>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2" w:hRule="atLeast"/>
          <w:jc w:val="center"/>
        </w:trPr>
        <w:tc>
          <w:tcPr>
            <w:tcW w:w="536" w:type="dxa"/>
            <w:vMerge w:val="continue"/>
            <w:shd w:val="clear" w:color="auto" w:fill="auto"/>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shd w:val="clear" w:color="auto" w:fill="auto"/>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26</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零售药店申请定点协议管理</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002036009002</w:t>
            </w:r>
          </w:p>
        </w:tc>
        <w:tc>
          <w:tcPr>
            <w:tcW w:w="2254"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1.《定点零售药店申请表》</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2.药品经营许可证、营业执照和法定代表人、主要负责人或实际控制人身份证复印件</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3.执业药师资格证书或药学技术人员相关证书及其劳动合同复印件</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4.医保专（兼）职管理人员的劳动合同复印件</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5.与医疗保障政策对应的内部管理制度和财务制度文本</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6.与医保有关的信息系统相关材料</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7.纳入定点后使用医疗保障基金的预测性分析报告</w:t>
            </w:r>
            <w:r>
              <w:rPr>
                <w:rFonts w:ascii="Times New Roman" w:hAnsi="Times New Roman" w:cs="Times New Roman"/>
                <w:spacing w:val="-4"/>
                <w:w w:val="98"/>
                <w:kern w:val="0"/>
                <w:sz w:val="15"/>
                <w:szCs w:val="15"/>
              </w:rPr>
              <w:br w:type="textWrapping"/>
            </w:r>
            <w:r>
              <w:rPr>
                <w:rFonts w:ascii="Times New Roman" w:hAnsi="Times New Roman" w:cs="Times New Roman"/>
                <w:spacing w:val="-8"/>
                <w:w w:val="98"/>
                <w:kern w:val="0"/>
                <w:sz w:val="15"/>
                <w:szCs w:val="15"/>
              </w:rPr>
              <w:t>（以上办理资料均需加盖单位公章）</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不超过90个自然日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审核环节包括评估、公示、协商谈判、协议签订等。</w:t>
            </w:r>
          </w:p>
        </w:tc>
        <w:tc>
          <w:tcPr>
            <w:tcW w:w="2692" w:type="dxa"/>
            <w:shd w:val="clear" w:color="auto" w:fill="auto"/>
            <w:vAlign w:val="center"/>
          </w:tcPr>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1.《中华人民共和国社会保险法》第三十一条；</w:t>
            </w:r>
            <w:r>
              <w:rPr>
                <w:rFonts w:ascii="Times New Roman" w:hAnsi="Times New Roman" w:cs="Times New Roman"/>
                <w:color w:val="000000" w:themeColor="text1"/>
                <w:spacing w:val="-4"/>
                <w:w w:val="98"/>
                <w:kern w:val="0"/>
                <w:sz w:val="15"/>
                <w:szCs w:val="15"/>
                <w14:textFill>
                  <w14:solidFill>
                    <w14:schemeClr w14:val="tx1"/>
                  </w14:solidFill>
                </w14:textFill>
              </w:rPr>
              <w:br w:type="textWrapping"/>
            </w:r>
            <w:r>
              <w:rPr>
                <w:rFonts w:ascii="Times New Roman" w:hAnsi="Times New Roman" w:cs="Times New Roman"/>
                <w:color w:val="000000" w:themeColor="text1"/>
                <w:spacing w:val="-4"/>
                <w:w w:val="98"/>
                <w:kern w:val="0"/>
                <w:sz w:val="15"/>
                <w:szCs w:val="15"/>
                <w14:textFill>
                  <w14:solidFill>
                    <w14:schemeClr w14:val="tx1"/>
                  </w14:solidFill>
                </w14:textFill>
              </w:rPr>
              <w:t>2.《零售药店医疗保障定点管理暂行办法》（国家医疗保障局令第3号）第六条、第七条、第八条、第九条</w:t>
            </w:r>
            <w:r>
              <w:rPr>
                <w:rFonts w:hint="eastAsia" w:ascii="Times New Roman" w:hAnsi="Times New Roman" w:cs="Times New Roman"/>
                <w:color w:val="000000" w:themeColor="text1"/>
                <w:spacing w:val="-4"/>
                <w:w w:val="98"/>
                <w:kern w:val="0"/>
                <w:sz w:val="15"/>
                <w:szCs w:val="15"/>
                <w14:textFill>
                  <w14:solidFill>
                    <w14:schemeClr w14:val="tx1"/>
                  </w14:solidFill>
                </w14:textFill>
              </w:rPr>
              <w:t>；</w:t>
            </w:r>
          </w:p>
          <w:p>
            <w:pPr>
              <w:widowControl/>
              <w:snapToGrid w:val="0"/>
              <w:jc w:val="left"/>
              <w:rPr>
                <w:rFonts w:ascii="Times New Roman" w:hAnsi="Times New Roman" w:cs="Times New Roman"/>
                <w:color w:val="000000" w:themeColor="text1"/>
                <w:spacing w:val="-4"/>
                <w:w w:val="98"/>
                <w:kern w:val="0"/>
                <w:sz w:val="15"/>
                <w:szCs w:val="15"/>
                <w14:textFill>
                  <w14:solidFill>
                    <w14:schemeClr w14:val="tx1"/>
                  </w14:solidFill>
                </w14:textFill>
              </w:rPr>
            </w:pPr>
            <w:r>
              <w:rPr>
                <w:rFonts w:ascii="Times New Roman" w:hAnsi="Times New Roman" w:cs="Times New Roman"/>
                <w:color w:val="000000" w:themeColor="text1"/>
                <w:spacing w:val="-4"/>
                <w:w w:val="98"/>
                <w:kern w:val="0"/>
                <w:sz w:val="15"/>
                <w:szCs w:val="15"/>
                <w14:textFill>
                  <w14:solidFill>
                    <w14:schemeClr w14:val="tx1"/>
                  </w14:solidFill>
                </w14:textFill>
              </w:rPr>
              <w:t>3.《关于印发&lt;新疆维吾尔自治区 新疆生产建设兵团医疗机构医疗保障定点管理评估实施细则&gt;&lt;新疆维吾尔自治区 新疆生产建设兵团零售药店医疗保障定点管理评估实施细则&gt;的通知》（新医保规〔2023〕2号）</w:t>
            </w:r>
            <w:r>
              <w:rPr>
                <w:rFonts w:hint="eastAsia" w:ascii="Times New Roman" w:hAnsi="Times New Roman" w:cs="Times New Roman"/>
                <w:color w:val="000000" w:themeColor="text1"/>
                <w:spacing w:val="-4"/>
                <w:w w:val="98"/>
                <w:kern w:val="0"/>
                <w:sz w:val="15"/>
                <w:szCs w:val="15"/>
                <w14:textFill>
                  <w14:solidFill>
                    <w14:schemeClr w14:val="tx1"/>
                  </w14:solidFill>
                </w14:textFill>
              </w:rPr>
              <w:t>。</w:t>
            </w:r>
          </w:p>
        </w:tc>
      </w:tr>
    </w:tbl>
    <w:p>
      <w:pPr>
        <w:widowControl/>
        <w:snapToGrid w:val="0"/>
        <w:jc w:val="center"/>
        <w:rPr>
          <w:rFonts w:ascii="Times New Roman" w:hAnsi="Times New Roman" w:cs="Times New Roman"/>
          <w:spacing w:val="-4"/>
          <w:w w:val="98"/>
          <w:kern w:val="0"/>
          <w:sz w:val="15"/>
          <w:szCs w:val="15"/>
        </w:rPr>
        <w:sectPr>
          <w:footerReference r:id="rId8" w:type="default"/>
          <w:pgSz w:w="16838" w:h="11906" w:orient="landscape"/>
          <w:pgMar w:top="1474" w:right="2098" w:bottom="1474" w:left="2098" w:header="851" w:footer="992" w:gutter="0"/>
          <w:cols w:space="425" w:num="1"/>
          <w:docGrid w:type="lines" w:linePitch="312" w:charSpace="0"/>
        </w:sectPr>
      </w:pPr>
    </w:p>
    <w:tbl>
      <w:tblPr>
        <w:tblStyle w:val="9"/>
        <w:tblW w:w="127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36"/>
        <w:gridCol w:w="714"/>
        <w:gridCol w:w="420"/>
        <w:gridCol w:w="952"/>
        <w:gridCol w:w="700"/>
        <w:gridCol w:w="2254"/>
        <w:gridCol w:w="783"/>
        <w:gridCol w:w="1008"/>
        <w:gridCol w:w="2646"/>
        <w:gridCol w:w="2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6"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主项</w:t>
            </w:r>
          </w:p>
        </w:tc>
        <w:tc>
          <w:tcPr>
            <w:tcW w:w="71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主项编码</w:t>
            </w:r>
          </w:p>
        </w:tc>
        <w:tc>
          <w:tcPr>
            <w:tcW w:w="420" w:type="dxa"/>
            <w:shd w:val="clear" w:color="auto" w:fill="auto"/>
            <w:vAlign w:val="center"/>
          </w:tcPr>
          <w:p>
            <w:pPr>
              <w:widowControl/>
              <w:snapToGrid w:val="0"/>
              <w:jc w:val="center"/>
              <w:rPr>
                <w:rFonts w:ascii="Times New Roman" w:hAnsi="Times New Roman" w:eastAsia="黑体" w:cs="Times New Roman"/>
                <w:spacing w:val="-4"/>
                <w:w w:val="98"/>
                <w:kern w:val="0"/>
                <w:sz w:val="15"/>
                <w:szCs w:val="15"/>
              </w:rPr>
            </w:pPr>
            <w:r>
              <w:rPr>
                <w:rFonts w:ascii="Times New Roman" w:hAnsi="Times New Roman" w:eastAsia="黑体" w:cs="Times New Roman"/>
                <w:spacing w:val="-4"/>
                <w:w w:val="98"/>
                <w:kern w:val="0"/>
                <w:sz w:val="15"/>
                <w:szCs w:val="15"/>
              </w:rPr>
              <w:t>子项</w:t>
            </w:r>
          </w:p>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序号</w:t>
            </w:r>
          </w:p>
        </w:tc>
        <w:tc>
          <w:tcPr>
            <w:tcW w:w="95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子项</w:t>
            </w:r>
          </w:p>
        </w:tc>
        <w:tc>
          <w:tcPr>
            <w:tcW w:w="70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子项编码</w:t>
            </w:r>
          </w:p>
        </w:tc>
        <w:tc>
          <w:tcPr>
            <w:tcW w:w="2254"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办理材料</w:t>
            </w:r>
          </w:p>
        </w:tc>
        <w:tc>
          <w:tcPr>
            <w:tcW w:w="783"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办理时限</w:t>
            </w:r>
          </w:p>
        </w:tc>
        <w:tc>
          <w:tcPr>
            <w:tcW w:w="1008"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办理环节</w:t>
            </w:r>
          </w:p>
        </w:tc>
        <w:tc>
          <w:tcPr>
            <w:tcW w:w="2646"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备注</w:t>
            </w:r>
          </w:p>
        </w:tc>
        <w:tc>
          <w:tcPr>
            <w:tcW w:w="2692"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eastAsia="黑体" w:cs="Times New Roman"/>
                <w:spacing w:val="-4"/>
                <w:w w:val="98"/>
                <w:kern w:val="0"/>
                <w:sz w:val="15"/>
                <w:szCs w:val="15"/>
              </w:rPr>
              <w:t>设定依据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536" w:type="dxa"/>
            <w:vMerge w:val="restart"/>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十、定点医药机构费用结算</w:t>
            </w:r>
          </w:p>
        </w:tc>
        <w:tc>
          <w:tcPr>
            <w:tcW w:w="714" w:type="dxa"/>
            <w:vMerge w:val="restart"/>
            <w:shd w:val="clear" w:color="auto" w:fill="auto"/>
            <w:vAlign w:val="center"/>
          </w:tcPr>
          <w:p>
            <w:pPr>
              <w:widowControl/>
              <w:snapToGrid w:val="0"/>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00203601000Y</w:t>
            </w: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27</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基本医疗保险定点医疗机构费用结算</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002036010001</w:t>
            </w:r>
          </w:p>
        </w:tc>
        <w:tc>
          <w:tcPr>
            <w:tcW w:w="2254" w:type="dxa"/>
            <w:vMerge w:val="restart"/>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办理材料根据定点医药机构与经办机构签订的协议执行</w:t>
            </w: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不超过30个工作日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w:t>
            </w:r>
          </w:p>
        </w:tc>
        <w:tc>
          <w:tcPr>
            <w:tcW w:w="269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1.《中华人民共和国社会保险法》第二十九条；</w:t>
            </w:r>
            <w:r>
              <w:rPr>
                <w:rFonts w:ascii="Times New Roman" w:hAnsi="Times New Roman" w:cs="Times New Roman"/>
                <w:spacing w:val="-4"/>
                <w:w w:val="98"/>
                <w:kern w:val="0"/>
                <w:sz w:val="15"/>
                <w:szCs w:val="15"/>
              </w:rPr>
              <w:br w:type="textWrapping"/>
            </w:r>
            <w:r>
              <w:rPr>
                <w:rFonts w:ascii="Times New Roman" w:hAnsi="Times New Roman" w:cs="Times New Roman"/>
                <w:spacing w:val="-8"/>
                <w:w w:val="98"/>
                <w:kern w:val="0"/>
                <w:sz w:val="15"/>
                <w:szCs w:val="15"/>
              </w:rPr>
              <w:t>2.《医疗机构医疗保障定点管理暂行办法》（国家医疗保障局令第2号）第三十条。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536" w:type="dxa"/>
            <w:vMerge w:val="continue"/>
            <w:vAlign w:val="center"/>
          </w:tcPr>
          <w:p>
            <w:pPr>
              <w:widowControl/>
              <w:snapToGrid w:val="0"/>
              <w:jc w:val="center"/>
              <w:rPr>
                <w:rFonts w:ascii="Times New Roman" w:hAnsi="Times New Roman" w:cs="Times New Roman"/>
                <w:spacing w:val="-4"/>
                <w:w w:val="98"/>
                <w:kern w:val="0"/>
                <w:sz w:val="15"/>
                <w:szCs w:val="15"/>
              </w:rPr>
            </w:pPr>
          </w:p>
        </w:tc>
        <w:tc>
          <w:tcPr>
            <w:tcW w:w="714" w:type="dxa"/>
            <w:vMerge w:val="continue"/>
            <w:vAlign w:val="center"/>
          </w:tcPr>
          <w:p>
            <w:pPr>
              <w:widowControl/>
              <w:snapToGrid w:val="0"/>
              <w:rPr>
                <w:rFonts w:ascii="Times New Roman" w:hAnsi="Times New Roman" w:cs="Times New Roman"/>
                <w:spacing w:val="-4"/>
                <w:w w:val="98"/>
                <w:kern w:val="0"/>
                <w:sz w:val="15"/>
                <w:szCs w:val="15"/>
              </w:rPr>
            </w:pPr>
          </w:p>
        </w:tc>
        <w:tc>
          <w:tcPr>
            <w:tcW w:w="420" w:type="dxa"/>
            <w:shd w:val="clear" w:color="auto" w:fill="auto"/>
            <w:vAlign w:val="center"/>
          </w:tcPr>
          <w:p>
            <w:pPr>
              <w:widowControl/>
              <w:snapToGrid w:val="0"/>
              <w:jc w:val="center"/>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28</w:t>
            </w:r>
          </w:p>
        </w:tc>
        <w:tc>
          <w:tcPr>
            <w:tcW w:w="95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基本医疗保险定点零售药店费用结算</w:t>
            </w:r>
          </w:p>
        </w:tc>
        <w:tc>
          <w:tcPr>
            <w:tcW w:w="700"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002036010002</w:t>
            </w:r>
          </w:p>
        </w:tc>
        <w:tc>
          <w:tcPr>
            <w:tcW w:w="2254" w:type="dxa"/>
            <w:vMerge w:val="continue"/>
            <w:vAlign w:val="center"/>
          </w:tcPr>
          <w:p>
            <w:pPr>
              <w:widowControl/>
              <w:snapToGrid w:val="0"/>
              <w:jc w:val="left"/>
              <w:rPr>
                <w:rFonts w:ascii="Times New Roman" w:hAnsi="Times New Roman" w:cs="Times New Roman"/>
                <w:spacing w:val="-4"/>
                <w:w w:val="98"/>
                <w:kern w:val="0"/>
                <w:sz w:val="15"/>
                <w:szCs w:val="15"/>
              </w:rPr>
            </w:pPr>
          </w:p>
        </w:tc>
        <w:tc>
          <w:tcPr>
            <w:tcW w:w="783"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不超过30个工作日</w:t>
            </w:r>
          </w:p>
        </w:tc>
        <w:tc>
          <w:tcPr>
            <w:tcW w:w="1008"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申请—受理—审核—拨付—办结</w:t>
            </w:r>
          </w:p>
        </w:tc>
        <w:tc>
          <w:tcPr>
            <w:tcW w:w="2646"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　</w:t>
            </w:r>
          </w:p>
        </w:tc>
        <w:tc>
          <w:tcPr>
            <w:tcW w:w="2692" w:type="dxa"/>
            <w:shd w:val="clear" w:color="auto" w:fill="auto"/>
            <w:vAlign w:val="center"/>
          </w:tcPr>
          <w:p>
            <w:pPr>
              <w:widowControl/>
              <w:snapToGrid w:val="0"/>
              <w:jc w:val="left"/>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1.《中华人民共和国社会保险法》第二十九条；</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2.《零售药店医疗保障定点管理暂行办法》（国家医疗保障局令第3号）第二十九条。</w:t>
            </w:r>
          </w:p>
        </w:tc>
      </w:tr>
    </w:tbl>
    <w:p>
      <w:pPr>
        <w:snapToGrid w:val="0"/>
        <w:ind w:left="391" w:leftChars="-6" w:hanging="404" w:hangingChars="291"/>
        <w:rPr>
          <w:rFonts w:ascii="Times New Roman" w:hAnsi="Times New Roman" w:cs="Times New Roman"/>
          <w:spacing w:val="-4"/>
          <w:w w:val="98"/>
          <w:kern w:val="0"/>
          <w:sz w:val="15"/>
          <w:szCs w:val="15"/>
        </w:rPr>
      </w:pPr>
      <w:r>
        <w:rPr>
          <w:rFonts w:ascii="Times New Roman" w:hAnsi="Times New Roman" w:cs="Times New Roman"/>
          <w:spacing w:val="-4"/>
          <w:w w:val="98"/>
          <w:kern w:val="0"/>
          <w:sz w:val="15"/>
          <w:szCs w:val="15"/>
        </w:rPr>
        <w:t>说明：</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1.有效身份证件包括身份证、户口簿、护照、港澳居民来往内地通行证、港澳台居民居住证、外国人永久居留证等；</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2.委托办理业务的，应提供委托人及代理人身份证件原件及委托人授权委托书；</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3.初次办理手工(零星)报销等涉及费用支付业务或收款账户信息有变化的，应提供参保人银行账户信息；</w:t>
      </w:r>
      <w:r>
        <w:rPr>
          <w:rFonts w:ascii="Times New Roman" w:hAnsi="Times New Roman" w:cs="Times New Roman"/>
          <w:spacing w:val="-4"/>
          <w:w w:val="98"/>
          <w:kern w:val="0"/>
          <w:sz w:val="15"/>
          <w:szCs w:val="15"/>
        </w:rPr>
        <w:br w:type="textWrapping"/>
      </w:r>
      <w:r>
        <w:rPr>
          <w:rFonts w:ascii="Times New Roman" w:hAnsi="Times New Roman" w:cs="Times New Roman"/>
          <w:spacing w:val="-4"/>
          <w:w w:val="98"/>
          <w:kern w:val="0"/>
          <w:sz w:val="15"/>
          <w:szCs w:val="15"/>
        </w:rPr>
        <w:t>4.事项编码按照GB/T39554.1-2020 《全国一体化政务服务平台政务服务事项基本目录及实施清单 第1部分：编码要求》进行编码。</w:t>
      </w:r>
    </w:p>
    <w:p>
      <w:pPr>
        <w:rPr>
          <w:rFonts w:ascii="Times New Roman" w:hAnsi="Times New Roman" w:cs="Times New Roman"/>
          <w:spacing w:val="-4"/>
          <w:w w:val="98"/>
          <w:kern w:val="0"/>
          <w:sz w:val="15"/>
          <w:szCs w:val="15"/>
        </w:rPr>
      </w:pPr>
    </w:p>
    <w:p>
      <w:pPr>
        <w:rPr>
          <w:rFonts w:ascii="Times New Roman" w:hAnsi="Times New Roman" w:cs="Times New Roman"/>
        </w:rPr>
        <w:sectPr>
          <w:footerReference r:id="rId9" w:type="default"/>
          <w:pgSz w:w="16838" w:h="11906" w:orient="landscape"/>
          <w:pgMar w:top="1474" w:right="2098" w:bottom="1474" w:left="2098" w:header="851" w:footer="992" w:gutter="0"/>
          <w:cols w:space="425" w:num="1"/>
          <w:docGrid w:type="lines" w:linePitch="312" w:charSpace="0"/>
        </w:sectPr>
      </w:pPr>
    </w:p>
    <w:p>
      <w:pPr>
        <w:pStyle w:val="8"/>
        <w:widowControl/>
        <w:shd w:val="clear" w:color="auto" w:fill="FFFFFF"/>
        <w:topLinePunct/>
        <w:spacing w:beforeAutospacing="0" w:afterAutospacing="0" w:line="596" w:lineRule="exact"/>
        <w:jc w:val="both"/>
        <w:rPr>
          <w:rFonts w:ascii="Times New Roman" w:hAnsi="Times New Roman" w:eastAsia="仿宋_GB2312"/>
          <w:sz w:val="32"/>
          <w:szCs w:val="32"/>
        </w:rPr>
      </w:pPr>
    </w:p>
    <w:sectPr>
      <w:footerReference r:id="rId10" w:type="default"/>
      <w:pgSz w:w="11906" w:h="16838"/>
      <w:pgMar w:top="2098" w:right="1474" w:bottom="1814"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-302260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3.8pt;height:144pt;width:144pt;mso-position-horizontal:outside;mso-position-horizontal-relative:margin;mso-wrap-style:none;z-index:251659264;mso-width-relative:page;mso-height-relative:page;" filled="f" stroked="f" coordsize="21600,21600" o:gfxdata="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QoplC&#10;xU8/vp9+Ppx+fSM4g0Ct9TPE3VtEhu6d6dA2w7nHYeTdVU7FLxgR+CHv8SKv6ALh8dJ0Mp3mcHH4&#10;hg3ws8fr1vnwXhhFolFQh/olWdlh40MfOoTEbNqsGylTDaUmbUGvXr/N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dy7P1QAAAAgBAAAPAAAAAAAAAAEAIAAAACIAAABkcnMvZG93bnJldi54bWxQSwECFAAU&#10;AAAACACHTuJA02JNZS0CAABXBAAADgAAAAAAAAABACAAAAAkAQAAZHJzL2Uyb0RvYy54bWxQSwUG&#10;AAAAAAYABgBZAQAAww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D5E52"/>
    <w:multiLevelType w:val="singleLevel"/>
    <w:tmpl w:val="658D5E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GUxNTNhMGZhMGQ2MTU3NWQ2ZjNkZmQzOWRiODYifQ=="/>
  </w:docVars>
  <w:rsids>
    <w:rsidRoot w:val="00172A27"/>
    <w:rsid w:val="000F3BA2"/>
    <w:rsid w:val="00172A27"/>
    <w:rsid w:val="004F594F"/>
    <w:rsid w:val="0054772D"/>
    <w:rsid w:val="005A16B7"/>
    <w:rsid w:val="005A2C32"/>
    <w:rsid w:val="005F4C40"/>
    <w:rsid w:val="00657D99"/>
    <w:rsid w:val="00664256"/>
    <w:rsid w:val="00670177"/>
    <w:rsid w:val="00672258"/>
    <w:rsid w:val="006C4830"/>
    <w:rsid w:val="00775389"/>
    <w:rsid w:val="00915E82"/>
    <w:rsid w:val="009D20C7"/>
    <w:rsid w:val="00AF177F"/>
    <w:rsid w:val="00B57090"/>
    <w:rsid w:val="00C46376"/>
    <w:rsid w:val="00CB5EBC"/>
    <w:rsid w:val="00DA4DB8"/>
    <w:rsid w:val="00E81B9D"/>
    <w:rsid w:val="00EA7212"/>
    <w:rsid w:val="00EF5C02"/>
    <w:rsid w:val="00F570A5"/>
    <w:rsid w:val="00F97407"/>
    <w:rsid w:val="01145B2B"/>
    <w:rsid w:val="01834B80"/>
    <w:rsid w:val="02E11DE3"/>
    <w:rsid w:val="02F57D3D"/>
    <w:rsid w:val="03A76FF2"/>
    <w:rsid w:val="05634420"/>
    <w:rsid w:val="065A2741"/>
    <w:rsid w:val="07451EFD"/>
    <w:rsid w:val="07470F3B"/>
    <w:rsid w:val="077257A2"/>
    <w:rsid w:val="08922BDE"/>
    <w:rsid w:val="08B90570"/>
    <w:rsid w:val="08E703FC"/>
    <w:rsid w:val="0965481A"/>
    <w:rsid w:val="097E5483"/>
    <w:rsid w:val="09812389"/>
    <w:rsid w:val="09C95F9E"/>
    <w:rsid w:val="0A983258"/>
    <w:rsid w:val="0AC53D3D"/>
    <w:rsid w:val="0C5255E8"/>
    <w:rsid w:val="0C59604A"/>
    <w:rsid w:val="0C820878"/>
    <w:rsid w:val="0C8E4526"/>
    <w:rsid w:val="0CC600D4"/>
    <w:rsid w:val="0CE73EFD"/>
    <w:rsid w:val="0D3F118D"/>
    <w:rsid w:val="0E725434"/>
    <w:rsid w:val="0ECA7124"/>
    <w:rsid w:val="0EEA6E77"/>
    <w:rsid w:val="0EEC7540"/>
    <w:rsid w:val="0F142ABE"/>
    <w:rsid w:val="0F535689"/>
    <w:rsid w:val="10461490"/>
    <w:rsid w:val="10612286"/>
    <w:rsid w:val="11AA7DC3"/>
    <w:rsid w:val="11D20222"/>
    <w:rsid w:val="122A3919"/>
    <w:rsid w:val="12A7737A"/>
    <w:rsid w:val="13323796"/>
    <w:rsid w:val="13D04CC5"/>
    <w:rsid w:val="13D90362"/>
    <w:rsid w:val="13E016BE"/>
    <w:rsid w:val="13E61C3D"/>
    <w:rsid w:val="14264FE0"/>
    <w:rsid w:val="1432745C"/>
    <w:rsid w:val="14926059"/>
    <w:rsid w:val="14B01DA9"/>
    <w:rsid w:val="14FB0753"/>
    <w:rsid w:val="152169BA"/>
    <w:rsid w:val="15BD2484"/>
    <w:rsid w:val="15F07B46"/>
    <w:rsid w:val="16FE0E2F"/>
    <w:rsid w:val="187E2DFF"/>
    <w:rsid w:val="188E6303"/>
    <w:rsid w:val="18F11FEA"/>
    <w:rsid w:val="190E112B"/>
    <w:rsid w:val="197B1E3B"/>
    <w:rsid w:val="1A7C095B"/>
    <w:rsid w:val="1B23645B"/>
    <w:rsid w:val="1BA52BEC"/>
    <w:rsid w:val="1BD67754"/>
    <w:rsid w:val="1BDA0D00"/>
    <w:rsid w:val="1BF918C1"/>
    <w:rsid w:val="1CBB4128"/>
    <w:rsid w:val="1CD660B0"/>
    <w:rsid w:val="1DD84370"/>
    <w:rsid w:val="1DDC438A"/>
    <w:rsid w:val="1F095CC0"/>
    <w:rsid w:val="1F0D4B75"/>
    <w:rsid w:val="1F2B3FC7"/>
    <w:rsid w:val="20065760"/>
    <w:rsid w:val="200C6659"/>
    <w:rsid w:val="2028678A"/>
    <w:rsid w:val="20D46961"/>
    <w:rsid w:val="21D87368"/>
    <w:rsid w:val="22830E3A"/>
    <w:rsid w:val="22AA1F41"/>
    <w:rsid w:val="23BB637A"/>
    <w:rsid w:val="24C52430"/>
    <w:rsid w:val="25C83FE7"/>
    <w:rsid w:val="265676AE"/>
    <w:rsid w:val="2662094F"/>
    <w:rsid w:val="269B7733"/>
    <w:rsid w:val="26E93061"/>
    <w:rsid w:val="26F46503"/>
    <w:rsid w:val="27142EC6"/>
    <w:rsid w:val="27321037"/>
    <w:rsid w:val="27333C6E"/>
    <w:rsid w:val="2734197D"/>
    <w:rsid w:val="277C7340"/>
    <w:rsid w:val="27C137C4"/>
    <w:rsid w:val="27E33790"/>
    <w:rsid w:val="29A07AEF"/>
    <w:rsid w:val="29F62A8E"/>
    <w:rsid w:val="29FC17DC"/>
    <w:rsid w:val="2A264630"/>
    <w:rsid w:val="2A906390"/>
    <w:rsid w:val="2AAC713B"/>
    <w:rsid w:val="2AE75720"/>
    <w:rsid w:val="2B7F2F7F"/>
    <w:rsid w:val="2BCC0BBF"/>
    <w:rsid w:val="2C5340AD"/>
    <w:rsid w:val="2C7A1C0E"/>
    <w:rsid w:val="2C8A7B4A"/>
    <w:rsid w:val="2CE554B7"/>
    <w:rsid w:val="2D776EB5"/>
    <w:rsid w:val="2DC16184"/>
    <w:rsid w:val="2E4F2F2D"/>
    <w:rsid w:val="2ECA18FF"/>
    <w:rsid w:val="2F723BC4"/>
    <w:rsid w:val="2F810BB7"/>
    <w:rsid w:val="2FBA32CE"/>
    <w:rsid w:val="2FCD2EDE"/>
    <w:rsid w:val="307703CD"/>
    <w:rsid w:val="31561C3F"/>
    <w:rsid w:val="318B5F2E"/>
    <w:rsid w:val="31B375C5"/>
    <w:rsid w:val="325275ED"/>
    <w:rsid w:val="336B7EF8"/>
    <w:rsid w:val="339265E7"/>
    <w:rsid w:val="33AE09FB"/>
    <w:rsid w:val="344103CA"/>
    <w:rsid w:val="346B3B4D"/>
    <w:rsid w:val="35554D5D"/>
    <w:rsid w:val="35F9573E"/>
    <w:rsid w:val="37877A11"/>
    <w:rsid w:val="382F06D7"/>
    <w:rsid w:val="38352BB2"/>
    <w:rsid w:val="38C02A66"/>
    <w:rsid w:val="39BA1BA2"/>
    <w:rsid w:val="39C1268D"/>
    <w:rsid w:val="39D81E35"/>
    <w:rsid w:val="3A06679B"/>
    <w:rsid w:val="3A3B36C9"/>
    <w:rsid w:val="3A50750D"/>
    <w:rsid w:val="3AAB120F"/>
    <w:rsid w:val="3B677EAD"/>
    <w:rsid w:val="3B7B6A83"/>
    <w:rsid w:val="3BBE291D"/>
    <w:rsid w:val="3C04200A"/>
    <w:rsid w:val="3C045DA3"/>
    <w:rsid w:val="3D50222E"/>
    <w:rsid w:val="3E670FC7"/>
    <w:rsid w:val="3EC97AA4"/>
    <w:rsid w:val="3F5B1EFA"/>
    <w:rsid w:val="3FF13096"/>
    <w:rsid w:val="404B17A6"/>
    <w:rsid w:val="41390922"/>
    <w:rsid w:val="41B50E04"/>
    <w:rsid w:val="42A67BB3"/>
    <w:rsid w:val="42B54F8C"/>
    <w:rsid w:val="43076A70"/>
    <w:rsid w:val="435F11B8"/>
    <w:rsid w:val="43836E70"/>
    <w:rsid w:val="449647F8"/>
    <w:rsid w:val="452674B7"/>
    <w:rsid w:val="45B74339"/>
    <w:rsid w:val="46B507B6"/>
    <w:rsid w:val="47056EC8"/>
    <w:rsid w:val="48036DBE"/>
    <w:rsid w:val="481D7C49"/>
    <w:rsid w:val="494238BB"/>
    <w:rsid w:val="49B45321"/>
    <w:rsid w:val="49F27C7C"/>
    <w:rsid w:val="4A396BDD"/>
    <w:rsid w:val="4AB97235"/>
    <w:rsid w:val="4B23432B"/>
    <w:rsid w:val="4B50332D"/>
    <w:rsid w:val="4E634CEB"/>
    <w:rsid w:val="4E656A0F"/>
    <w:rsid w:val="4EB13C11"/>
    <w:rsid w:val="4EB53AFB"/>
    <w:rsid w:val="4F3A30BE"/>
    <w:rsid w:val="4F64684F"/>
    <w:rsid w:val="4FA91533"/>
    <w:rsid w:val="50077C54"/>
    <w:rsid w:val="501C6189"/>
    <w:rsid w:val="50721BB3"/>
    <w:rsid w:val="519D7DCE"/>
    <w:rsid w:val="51CF7DCB"/>
    <w:rsid w:val="51E87F8F"/>
    <w:rsid w:val="52887FCC"/>
    <w:rsid w:val="52F76EDF"/>
    <w:rsid w:val="537438B1"/>
    <w:rsid w:val="53DC4D33"/>
    <w:rsid w:val="53F346C5"/>
    <w:rsid w:val="540858D8"/>
    <w:rsid w:val="552B7FD6"/>
    <w:rsid w:val="553C3BA5"/>
    <w:rsid w:val="557A198E"/>
    <w:rsid w:val="55C9550C"/>
    <w:rsid w:val="56A45DDC"/>
    <w:rsid w:val="57162614"/>
    <w:rsid w:val="57652593"/>
    <w:rsid w:val="57C24246"/>
    <w:rsid w:val="593A00DA"/>
    <w:rsid w:val="594F0392"/>
    <w:rsid w:val="59892D1B"/>
    <w:rsid w:val="5A3074E4"/>
    <w:rsid w:val="5B26188C"/>
    <w:rsid w:val="5BC865F3"/>
    <w:rsid w:val="5C155E5C"/>
    <w:rsid w:val="5C6C6D76"/>
    <w:rsid w:val="5D835231"/>
    <w:rsid w:val="5EC33798"/>
    <w:rsid w:val="5EF175FD"/>
    <w:rsid w:val="5FE76C3C"/>
    <w:rsid w:val="60514DC8"/>
    <w:rsid w:val="6224144E"/>
    <w:rsid w:val="65135D8D"/>
    <w:rsid w:val="6683699C"/>
    <w:rsid w:val="66E50DBD"/>
    <w:rsid w:val="67767729"/>
    <w:rsid w:val="68210B17"/>
    <w:rsid w:val="689530A3"/>
    <w:rsid w:val="694645F2"/>
    <w:rsid w:val="6AD1785D"/>
    <w:rsid w:val="6B8378B0"/>
    <w:rsid w:val="6C22257A"/>
    <w:rsid w:val="6C77570A"/>
    <w:rsid w:val="6D0922FC"/>
    <w:rsid w:val="6D9D424C"/>
    <w:rsid w:val="6DD23790"/>
    <w:rsid w:val="6EB54943"/>
    <w:rsid w:val="6FA26E7F"/>
    <w:rsid w:val="6FB60CA6"/>
    <w:rsid w:val="706F3406"/>
    <w:rsid w:val="70E34228"/>
    <w:rsid w:val="71260786"/>
    <w:rsid w:val="71853786"/>
    <w:rsid w:val="71AA454D"/>
    <w:rsid w:val="72237428"/>
    <w:rsid w:val="72592748"/>
    <w:rsid w:val="7318245C"/>
    <w:rsid w:val="73AF2B1B"/>
    <w:rsid w:val="74361050"/>
    <w:rsid w:val="74A321C0"/>
    <w:rsid w:val="752C67E6"/>
    <w:rsid w:val="7558540E"/>
    <w:rsid w:val="757B5671"/>
    <w:rsid w:val="75887EEE"/>
    <w:rsid w:val="75A667BC"/>
    <w:rsid w:val="76311971"/>
    <w:rsid w:val="7637607D"/>
    <w:rsid w:val="76837622"/>
    <w:rsid w:val="76A85FC6"/>
    <w:rsid w:val="784A3DD3"/>
    <w:rsid w:val="787E1F53"/>
    <w:rsid w:val="790A3322"/>
    <w:rsid w:val="797841A6"/>
    <w:rsid w:val="799816CC"/>
    <w:rsid w:val="7A13445D"/>
    <w:rsid w:val="7A2E694E"/>
    <w:rsid w:val="7A3D1D23"/>
    <w:rsid w:val="7B3E41A1"/>
    <w:rsid w:val="7CBE71F8"/>
    <w:rsid w:val="7CD11962"/>
    <w:rsid w:val="7D376633"/>
    <w:rsid w:val="7DE02C86"/>
    <w:rsid w:val="7E2F515A"/>
    <w:rsid w:val="7EB250BA"/>
    <w:rsid w:val="7EBC57D4"/>
    <w:rsid w:val="7F946B2F"/>
    <w:rsid w:val="7FF2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Char"/>
    <w:basedOn w:val="1"/>
    <w:qFormat/>
    <w:uiPriority w:val="0"/>
    <w:pPr>
      <w:widowControl/>
      <w:spacing w:line="240" w:lineRule="exact"/>
      <w:jc w:val="left"/>
    </w:pPr>
  </w:style>
  <w:style w:type="paragraph" w:styleId="3">
    <w:name w:val="table of authorities"/>
    <w:basedOn w:val="1"/>
    <w:next w:val="1"/>
    <w:qFormat/>
    <w:uiPriority w:val="0"/>
    <w:pPr>
      <w:ind w:left="420" w:leftChars="200"/>
    </w:pPr>
  </w:style>
  <w:style w:type="paragraph" w:styleId="4">
    <w:name w:val="Body Text"/>
    <w:basedOn w:val="1"/>
    <w:unhideWhenUsed/>
    <w:qFormat/>
    <w:uiPriority w:val="99"/>
    <w:rPr>
      <w:sz w:val="32"/>
      <w:szCs w:val="32"/>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样式1"/>
    <w:basedOn w:val="1"/>
    <w:qFormat/>
    <w:uiPriority w:val="0"/>
  </w:style>
  <w:style w:type="character" w:customStyle="1" w:styleId="14">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8</Pages>
  <Words>1082</Words>
  <Characters>6170</Characters>
  <Lines>51</Lines>
  <Paragraphs>14</Paragraphs>
  <TotalTime>2</TotalTime>
  <ScaleCrop>false</ScaleCrop>
  <LinksUpToDate>false</LinksUpToDate>
  <CharactersWithSpaces>7238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sun王</cp:lastModifiedBy>
  <cp:lastPrinted>2024-01-02T08:58:00Z</cp:lastPrinted>
  <dcterms:modified xsi:type="dcterms:W3CDTF">2024-02-08T03:26:18Z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345800846_cloud</vt:lpwstr>
  </property>
  <property fmtid="{D5CDD505-2E9C-101B-9397-08002B2CF9AE}" pid="4" name="ICV">
    <vt:lpwstr>31A818BE8DD9432AB62AFF46A2FEE7E6_13</vt:lpwstr>
  </property>
</Properties>
</file>