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第四师市场监督管理局</w:t>
      </w:r>
      <w:r>
        <w:rPr>
          <w:rFonts w:hint="eastAsia" w:ascii="方正小标宋_GBK" w:eastAsia="方正小标宋_GBK"/>
          <w:sz w:val="44"/>
          <w:szCs w:val="44"/>
        </w:rPr>
        <w:t>行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政处罚流程图</w:t>
      </w:r>
    </w:p>
    <w:p>
      <w:pPr>
        <w:jc w:val="center"/>
        <w:rPr>
          <w:rFonts w:ascii="方正小标宋_GBK" w:eastAsia="方正小标宋_GBK"/>
          <w:sz w:val="21"/>
          <w:szCs w:val="21"/>
        </w:rPr>
      </w:pPr>
      <w:r>
        <w:rPr>
          <w:i/>
          <w:sz w:val="21"/>
          <w:szCs w:val="21"/>
        </w:rPr>
        <w:pict>
          <v:shape id="_x0000_s2050" o:spid="_x0000_s2050" o:spt="3" type="#_x0000_t3" style="position:absolute;left:0pt;margin-left:41.35pt;margin-top:0.15pt;height:85.5pt;width:332.25pt;z-index:2516951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案件来源</w:t>
                  </w:r>
                </w:p>
                <w:p>
                  <w:pPr>
                    <w:spacing w:after="0" w:line="240" w:lineRule="exact"/>
                    <w:jc w:val="center"/>
                    <w:rPr>
                      <w:rFonts w:hint="eastAsia" w:eastAsia="微软雅黑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（发现违法线索，填写案件来源登记表）</w:t>
                  </w:r>
                </w:p>
                <w:p>
                  <w:pPr>
                    <w:spacing w:after="0"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1.群众举报或投诉；2、市场检查；3、上级机关交办；4、其他执法机关移交；5、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监督抽检</w:t>
                  </w:r>
                  <w:r>
                    <w:rPr>
                      <w:rFonts w:hint="eastAsia"/>
                      <w:sz w:val="15"/>
                      <w:szCs w:val="15"/>
                    </w:rPr>
                    <w:t>；6、其它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>
      <w:pPr>
        <w:spacing w:line="220" w:lineRule="atLeast"/>
        <w:rPr>
          <w:i/>
        </w:rPr>
      </w:pPr>
    </w:p>
    <w:p>
      <w:pPr>
        <w:spacing w:line="220" w:lineRule="atLeast"/>
        <w:rPr>
          <w:i/>
        </w:rPr>
      </w:pPr>
    </w:p>
    <w:p>
      <w:r>
        <w:rPr>
          <w:i/>
        </w:rPr>
        <w:pict>
          <v:shape id="_x0000_s2051" o:spid="_x0000_s2051" o:spt="32" type="#_x0000_t32" style="position:absolute;left:0pt;margin-left:284.05pt;margin-top:9.1pt;height:30.75pt;width:0pt;z-index:2517411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52" o:spid="_x0000_s2052" o:spt="32" type="#_x0000_t32" style="position:absolute;left:0pt;margin-left:85.5pt;margin-top:0.1pt;height:61.35pt;width:0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2053" o:spid="_x0000_s2053" o:spt="1" style="position:absolute;left:0pt;margin-left:177.75pt;margin-top:16.55pt;height:30.75pt;width:255pt;z-index:2517422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jc w:val="center"/>
                    <w:rPr>
                      <w:rFonts w:hint="eastAsi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组织核查</w:t>
                  </w:r>
                </w:p>
                <w:p>
                  <w:pPr>
                    <w:spacing w:after="0"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15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个工作</w:t>
                  </w:r>
                  <w:r>
                    <w:rPr>
                      <w:rFonts w:hint="eastAsia"/>
                      <w:sz w:val="15"/>
                      <w:szCs w:val="15"/>
                    </w:rPr>
                    <w:t>日组织核查，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符合立案的填写立案审批表</w:t>
                  </w:r>
                </w:p>
              </w:txbxContent>
            </v:textbox>
          </v:rect>
        </w:pict>
      </w:r>
    </w:p>
    <w:p>
      <w:r>
        <w:rPr>
          <w:i/>
        </w:rPr>
        <w:pict>
          <v:rect id="_x0000_s2054" o:spid="_x0000_s2054" o:spt="1" style="position:absolute;left:0pt;margin-left:6pt;margin-top:14.85pt;height:74.25pt;width:113.2pt;z-index:2516797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简易程序</w:t>
                  </w:r>
                </w:p>
                <w:p>
                  <w:pPr>
                    <w:spacing w:after="0" w:line="240" w:lineRule="exact"/>
                    <w:rPr>
                      <w:rFonts w:hint="eastAsia" w:eastAsia="微软雅黑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对事实清楚，证据确凿，可以当场处理的违法行为。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（对自然人处以</w:t>
                  </w: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200以下，对法人处以3000以下或警告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）</w:t>
                  </w:r>
                </w:p>
              </w:txbxContent>
            </v:textbox>
          </v:rect>
        </w:pict>
      </w:r>
    </w:p>
    <w:p>
      <w:r>
        <w:rPr>
          <w:i/>
        </w:rPr>
        <w:pict>
          <v:rect id="_x0000_s2055" o:spid="_x0000_s2055" o:spt="1" style="position:absolute;left:0pt;margin-left:177.75pt;margin-top:14.25pt;height:51pt;width:255pt;z-index:2516858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rFonts w:hint="eastAsia" w:eastAsia="微软雅黑"/>
                      <w:b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eastAsia="zh-CN"/>
                    </w:rPr>
                    <w:t>立案审查</w:t>
                  </w:r>
                </w:p>
                <w:p>
                  <w:pPr>
                    <w:spacing w:after="0" w:line="240" w:lineRule="exact"/>
                    <w:ind w:firstLine="225" w:firstLineChars="15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上报立案审批表、案件来源登记表、现场检查笔录等相关资料，报法制科室审核。审核通过的由局领导审批。</w:t>
                  </w:r>
                </w:p>
              </w:txbxContent>
            </v:textbox>
          </v:rect>
        </w:pict>
      </w:r>
      <w:r>
        <w:rPr>
          <w:i/>
        </w:rPr>
        <w:pict>
          <v:shape id="_x0000_s2056" o:spid="_x0000_s2056" o:spt="32" type="#_x0000_t32" style="position:absolute;left:0pt;margin-left:283.95pt;margin-top:0.75pt;height:13.5pt;width:0pt;z-index:2517432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rPr>
          <w:i/>
        </w:rPr>
        <w:pict>
          <v:shape id="_x0000_s2057" o:spid="_x0000_s2057" o:spt="32" type="#_x0000_t32" style="position:absolute;left:0pt;flip:x;margin-left:84.75pt;margin-top:18pt;height:42.65pt;width:0.3pt;z-index:2516869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i/>
        </w:rPr>
        <w:pict>
          <v:shape id="_x0000_s2058" o:spid="_x0000_s2058" o:spt="32" type="#_x0000_t32" style="position:absolute;left:0pt;margin-left:283.05pt;margin-top:14.1pt;height:11.35pt;width:0.8pt;z-index:2516910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r>
        <w:rPr>
          <w:i/>
        </w:rPr>
        <w:pict>
          <v:rect id="_x0000_s2059" o:spid="_x0000_s2059" o:spt="1" style="position:absolute;left:0pt;margin-left:123.75pt;margin-top:2.15pt;height:58.55pt;width:309pt;z-index:2516920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rFonts w:hint="eastAsia" w:eastAsia="微软雅黑"/>
                      <w:b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调查取证</w:t>
                  </w:r>
                  <w:r>
                    <w:rPr>
                      <w:rFonts w:hint="eastAsia"/>
                      <w:b/>
                      <w:sz w:val="15"/>
                      <w:szCs w:val="15"/>
                      <w:lang w:eastAsia="zh-CN"/>
                    </w:rPr>
                    <w:t>（调查终结）</w:t>
                  </w:r>
                </w:p>
                <w:p>
                  <w:pPr>
                    <w:spacing w:after="0" w:line="240" w:lineRule="exact"/>
                    <w:rPr>
                      <w:rFonts w:hint="eastAsia" w:eastAsia="微软雅黑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指定</w:t>
                  </w:r>
                  <w:r>
                    <w:rPr>
                      <w:rFonts w:hint="eastAsia"/>
                      <w:sz w:val="15"/>
                      <w:szCs w:val="15"/>
                    </w:rPr>
                    <w:t>2名以上执法人员承办，出示执法证件，依法收集整理证据材料。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通过采取现场检查、询问当事人、先行登记保存、实施行政强制措施、抽检、拍照、录像等方式固定证据。调查结束后撰写调查报告，提出处罚意见。</w:t>
                  </w:r>
                </w:p>
              </w:txbxContent>
            </v:textbox>
          </v:rect>
        </w:pict>
      </w:r>
    </w:p>
    <w:p>
      <w:r>
        <w:rPr>
          <w:i/>
        </w:rPr>
        <w:pict>
          <v:rect id="_x0000_s2060" o:spid="_x0000_s2060" o:spt="1" style="position:absolute;left:0pt;margin-left:6pt;margin-top:14.1pt;height:30.1pt;width:109.5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两名以上执法人员实施，收集证据材料。</w:t>
                  </w:r>
                </w:p>
              </w:txbxContent>
            </v:textbox>
          </v:rect>
        </w:pict>
      </w:r>
    </w:p>
    <w:p>
      <w:r>
        <w:rPr>
          <w:i/>
        </w:rPr>
        <w:pict>
          <v:shape id="_x0000_s2061" o:spid="_x0000_s2061" o:spt="32" type="#_x0000_t32" style="position:absolute;left:0pt;margin-left:283.05pt;margin-top:11.75pt;height:18.1pt;width:0.6pt;z-index:2516930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i/>
        </w:rPr>
        <w:pict>
          <v:shape id="_x0000_s2062" o:spid="_x0000_s2062" o:spt="32" type="#_x0000_t32" style="position:absolute;left:0pt;margin-left:85.5pt;margin-top:20.9pt;height:60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rPr>
          <w:i/>
        </w:rPr>
        <w:pict>
          <v:rect id="_x0000_s2063" o:spid="_x0000_s2063" o:spt="1" style="position:absolute;left:0pt;margin-left:123.75pt;margin-top:6.55pt;height:43.45pt;width:309pt;z-index:2517022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rFonts w:hint="eastAsia"/>
                      <w:b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eastAsia="zh-CN"/>
                    </w:rPr>
                    <w:t>案件核审（案审会集体讨论）</w:t>
                  </w:r>
                </w:p>
                <w:p>
                  <w:pPr>
                    <w:spacing w:after="0"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将案件调查报告及相关证据资料一并报法规审核。提出核审意见。</w:t>
                  </w:r>
                  <w:r>
                    <w:rPr>
                      <w:rFonts w:hint="eastAsia"/>
                      <w:sz w:val="15"/>
                      <w:szCs w:val="15"/>
                    </w:rPr>
                    <w:t>重大复杂案件由案件审理委员会集体讨论决定。</w:t>
                  </w:r>
                </w:p>
              </w:txbxContent>
            </v:textbox>
          </v:rect>
        </w:pict>
      </w:r>
    </w:p>
    <w:p/>
    <w:p>
      <w:r>
        <w:rPr>
          <w:i/>
        </w:rPr>
        <w:pict>
          <v:shape id="_x0000_s2064" o:spid="_x0000_s2064" o:spt="32" type="#_x0000_t32" style="position:absolute;left:0pt;flip:x;margin-left:281.55pt;margin-top:3.4pt;height:12pt;width:1.5pt;z-index:2517790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i/>
        </w:rPr>
        <w:pict>
          <v:rect id="_x0000_s2065" o:spid="_x0000_s2065" o:spt="1" style="position:absolute;left:0pt;margin-left:147pt;margin-top:15.45pt;height:31.45pt;width:285.7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ind w:firstLine="2326" w:firstLineChars="1550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审    批</w:t>
                  </w:r>
                </w:p>
                <w:p>
                  <w:pPr>
                    <w:spacing w:after="0" w:line="240" w:lineRule="exact"/>
                    <w:jc w:val="center"/>
                    <w:rPr>
                      <w:rFonts w:hint="eastAsia" w:eastAsia="微软雅黑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按程序进行审批，重大复杂案件由案件审理委员会集体讨论决定。</w:t>
                  </w:r>
                </w:p>
              </w:txbxContent>
            </v:textbox>
          </v:rect>
        </w:pict>
      </w:r>
      <w:r>
        <w:rPr>
          <w:i/>
        </w:rPr>
        <w:pict>
          <v:rect id="_x0000_s2066" o:spid="_x0000_s2066" o:spt="1" style="position:absolute;left:0pt;margin-left:6pt;margin-top:11.05pt;height:45pt;width:109.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告知当事人拟处罚的事实、理由、依据和陈述申变的权利。</w:t>
                  </w:r>
                </w:p>
              </w:txbxContent>
            </v:textbox>
          </v:rect>
        </w:pict>
      </w:r>
    </w:p>
    <w:p>
      <w:r>
        <w:pict>
          <v:shape id="_x0000_s2067" o:spid="_x0000_s2067" o:spt="32" type="#_x0000_t32" style="position:absolute;left:0pt;margin-left:134.25pt;margin-top:7.2pt;height:0pt;width:12.75pt;z-index:2517278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8" o:spid="_x0000_s2068" o:spt="32" type="#_x0000_t32" style="position:absolute;left:0pt;flip:y;margin-left:134.25pt;margin-top:7.2pt;height:201.75pt;width:0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2099" o:spid="_x0000_s2099" o:spt="32" type="#_x0000_t32" style="position:absolute;left:0pt;margin-left:198pt;margin-top:1.05pt;height:23.4pt;width:0pt;z-index:2518784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01" o:spid="_x0000_s2101" o:spt="32" type="#_x0000_t32" style="position:absolute;left:0pt;margin-left:387pt;margin-top:0.35pt;height:23.4pt;width:0pt;z-index:2519818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9" o:spid="_x0000_s2069" o:spt="32" type="#_x0000_t32" style="position:absolute;left:0pt;margin-left:283.6pt;margin-top:0.35pt;height:23.4pt;width:0pt;z-index:251706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70" o:spid="_x0000_s2070" o:spt="32" type="#_x0000_t32" style="position:absolute;left:0pt;margin-left:85.5pt;margin-top:104pt;height:155.75pt;width:0.15pt;z-index:2516981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i/>
        </w:rPr>
        <w:pict>
          <v:shape id="_x0000_s2071" o:spid="_x0000_s2071" o:spt="32" type="#_x0000_t32" style="position:absolute;left:0pt;margin-left:85.5pt;margin-top:9.5pt;height:60pt;width:0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rPr>
          <w:i/>
        </w:rPr>
        <w:pict>
          <v:rect id="_x0000_s2100" o:spid="_x0000_s2100" o:spt="1" style="position:absolute;left:0pt;margin-left:346.5pt;margin-top:0.45pt;height:42pt;width:86.25pt;z-index:251931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移送处理</w:t>
                  </w:r>
                </w:p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构成犯罪，依法移送司法机关。</w:t>
                  </w:r>
                </w:p>
              </w:txbxContent>
            </v:textbox>
          </v:rect>
        </w:pict>
      </w:r>
      <w:r>
        <w:rPr>
          <w:i/>
        </w:rPr>
        <w:pict>
          <v:rect id="_x0000_s2098" o:spid="_x0000_s2098" o:spt="1" style="position:absolute;left:0pt;margin-left:147pt;margin-top:0.45pt;height:42pt;width:86.25pt;z-index:251830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撤销立案</w:t>
                  </w:r>
                </w:p>
                <w:p>
                  <w:pPr>
                    <w:spacing w:after="0"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情节轻微且已改正，违法事实不能成立。</w:t>
                  </w:r>
                </w:p>
              </w:txbxContent>
            </v:textbox>
          </v:rect>
        </w:pict>
      </w:r>
      <w:r>
        <w:rPr>
          <w:i/>
        </w:rPr>
        <w:pict>
          <v:rect id="_x0000_s2072" o:spid="_x0000_s2072" o:spt="1" style="position:absolute;left:0pt;margin-left:244.5pt;margin-top:0.45pt;height:48pt;width:86.25pt;z-index:2517094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exact"/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处罚告知</w:t>
                  </w:r>
                </w:p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制作行政处罚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（听证）</w:t>
                  </w:r>
                  <w:r>
                    <w:rPr>
                      <w:rFonts w:hint="eastAsia"/>
                      <w:sz w:val="15"/>
                      <w:szCs w:val="15"/>
                    </w:rPr>
                    <w:t>告知书，并送达当事人。</w:t>
                  </w:r>
                </w:p>
              </w:txbxContent>
            </v:textbox>
          </v:rect>
        </w:pict>
      </w:r>
    </w:p>
    <w:p>
      <w:r>
        <w:rPr>
          <w:i/>
        </w:rPr>
        <w:pict>
          <v:shape id="_x0000_s2073" o:spid="_x0000_s2073" o:spt="32" type="#_x0000_t32" style="position:absolute;left:0pt;margin-left:283.7pt;margin-top:19.2pt;height:13.4pt;width:0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rect id="_x0000_s2074" o:spid="_x0000_s2074" o:spt="1" style="position:absolute;left:0pt;margin-left:6pt;margin-top:22.95pt;height:34.5pt;width:117.75pt;z-index:2516971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制作当场行政处罚告知书送达当事人</w:t>
                  </w:r>
                </w:p>
              </w:txbxContent>
            </v:textbox>
          </v:rect>
        </w:pict>
      </w:r>
    </w:p>
    <w:p>
      <w:pPr>
        <w:jc w:val="center"/>
        <w:rPr>
          <w:i/>
        </w:rPr>
      </w:pPr>
      <w:r>
        <w:rPr>
          <w:i/>
        </w:rPr>
        <w:pict>
          <v:shape id="_x0000_s2075" o:spid="_x0000_s2075" o:spt="3" type="#_x0000_t3" style="position:absolute;left:0pt;margin-left:330.75pt;margin-top:194.6pt;height:27.05pt;width:98.25pt;z-index:2517319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结案归档</w:t>
                  </w:r>
                </w:p>
              </w:txbxContent>
            </v:textbox>
          </v:shape>
        </w:pict>
      </w:r>
      <w:r>
        <w:rPr>
          <w:i/>
        </w:rPr>
        <w:pict>
          <v:shape id="_x0000_s2077" o:spid="_x0000_s2077" o:spt="3" type="#_x0000_t3" style="position:absolute;left:0pt;margin-left:9.75pt;margin-top:194.6pt;height:27.05pt;width:124.5pt;z-index:25170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备案归档</w:t>
                  </w:r>
                </w:p>
              </w:txbxContent>
            </v:textbox>
          </v:shape>
        </w:pict>
      </w:r>
      <w:r>
        <w:rPr>
          <w:i/>
        </w:rPr>
        <w:pict>
          <v:rect id="_x0000_s2078" o:spid="_x0000_s2078" o:spt="1" style="position:absolute;left:0pt;margin-left:218.15pt;margin-top:181.85pt;height:39.8pt;width:97.6pt;z-index:2517370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当事人不履行，依法向法院申请强制执行</w:t>
                  </w:r>
                </w:p>
              </w:txbxContent>
            </v:textbox>
          </v:rect>
        </w:pict>
      </w:r>
      <w:r>
        <w:rPr>
          <w:i/>
        </w:rPr>
        <w:pict>
          <v:shape id="_x0000_s2079" o:spid="_x0000_s2079" o:spt="32" type="#_x0000_t32" style="position:absolute;left:0pt;flip:x y;margin-left:253.05pt;margin-top:165.65pt;height:0.45pt;width:123.45pt;z-index:2517329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i/>
        </w:rPr>
        <w:pict>
          <v:shape id="_x0000_s2080" o:spid="_x0000_s2080" o:spt="32" type="#_x0000_t32" style="position:absolute;left:0pt;margin-left:255pt;margin-top:166.1pt;height:15.75pt;width:0pt;z-index:251735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81" o:spid="_x0000_s2081" o:spt="32" type="#_x0000_t32" style="position:absolute;left:0pt;margin-left:376.5pt;margin-top:157.85pt;height:36.75pt;width:0pt;z-index:2517309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rect id="_x0000_s2082" o:spid="_x0000_s2082" o:spt="1" style="position:absolute;left:0pt;margin-left:279.7pt;margin-top:138.35pt;height:19.5pt;width:149.3pt;z-index:2517299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7日内送达，当事人履行处罚决定。</w:t>
                  </w:r>
                </w:p>
              </w:txbxContent>
            </v:textbox>
          </v:rect>
        </w:pict>
      </w:r>
      <w:r>
        <w:rPr>
          <w:i/>
        </w:rPr>
        <w:pict>
          <v:shape id="_x0000_s2083" o:spid="_x0000_s2083" o:spt="32" type="#_x0000_t32" style="position:absolute;left:0pt;margin-left:376.5pt;margin-top:124.85pt;height:13.5pt;width:0pt;z-index:2517288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84" o:spid="_x0000_s2084" o:spt="32" type="#_x0000_t32" style="position:absolute;left:0pt;flip:x;margin-left:134.25pt;margin-top:115.85pt;height:0pt;width:12.75pt;z-index:2517258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rect id="_x0000_s2085" o:spid="_x0000_s2085" o:spt="1" style="position:absolute;left:0pt;margin-left:315.75pt;margin-top:94.15pt;height:30.7pt;width:112.5pt;z-index:251724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根据审批意见，制作行政处罚决定书。</w:t>
                  </w:r>
                </w:p>
              </w:txbxContent>
            </v:textbox>
          </v:rect>
        </w:pict>
      </w:r>
      <w:r>
        <w:rPr>
          <w:i/>
        </w:rPr>
        <w:pict>
          <v:rect id="_x0000_s2086" o:spid="_x0000_s2086" o:spt="1" style="position:absolute;left:0pt;margin-left:147pt;margin-top:94.15pt;height:44.2pt;width:112.5pt;z-index:2517237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如当事人的事实、理由或证据成立，改变原拟作出的行政处罚决定。</w:t>
                  </w:r>
                </w:p>
              </w:txbxContent>
            </v:textbox>
          </v:rect>
        </w:pict>
      </w:r>
      <w:r>
        <w:rPr>
          <w:i/>
        </w:rPr>
        <w:pict>
          <v:shape id="_x0000_s2087" o:spid="_x0000_s2087" o:spt="32" type="#_x0000_t32" style="position:absolute;left:0pt;margin-left:259.5pt;margin-top:112.1pt;height:0pt;width:56.25pt;z-index:251722752;mso-width-relative:page;mso-height-relative:page;" o:connectortype="straight" filled="f" coordsize="21600,21600">
            <v:path arrowok="t"/>
            <v:fill on="f" focussize="0,0"/>
            <v:stroke startarrow="block" endarrow="block"/>
            <v:imagedata o:title=""/>
            <o:lock v:ext="edit"/>
          </v:shape>
        </w:pict>
      </w:r>
      <w:r>
        <w:rPr>
          <w:i/>
        </w:rPr>
        <w:pict>
          <v:shape id="_x0000_s2088" o:spid="_x0000_s2088" o:spt="32" type="#_x0000_t32" style="position:absolute;left:0pt;margin-left:283.8pt;margin-top:79.15pt;height:32.9pt;width:0pt;z-index:251721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shape id="_x0000_s2089" o:spid="_x0000_s2089" o:spt="32" type="#_x0000_t32" style="position:absolute;left:0pt;margin-left:201.95pt;margin-top:79.1pt;height:0.05pt;width:165.7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shape id="_x0000_s2090" o:spid="_x0000_s2090" o:spt="32" type="#_x0000_t32" style="position:absolute;left:0pt;margin-left:366.75pt;margin-top:66.35pt;height:12.75pt;width:0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shape id="_x0000_s2091" o:spid="_x0000_s2091" o:spt="32" type="#_x0000_t32" style="position:absolute;left:0pt;margin-left:201.95pt;margin-top:66.3pt;height:12.8pt;width:0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i/>
        </w:rPr>
        <w:pict>
          <v:rect id="_x0000_s2092" o:spid="_x0000_s2092" o:spt="1" style="position:absolute;left:0pt;margin-left:311.25pt;margin-top:31.85pt;height:34.5pt;width:117.75pt;z-index:2517176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重大处罚，当事人可申请听证，依申请组织听证。</w:t>
                  </w:r>
                </w:p>
              </w:txbxContent>
            </v:textbox>
          </v:rect>
        </w:pict>
      </w:r>
      <w:r>
        <w:rPr>
          <w:i/>
        </w:rPr>
        <w:pict>
          <v:rect id="_x0000_s2093" o:spid="_x0000_s2093" o:spt="1" style="position:absolute;left:0pt;margin-left:147pt;margin-top:31.8pt;height:34.5pt;width:117.75pt;z-index:2517166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如当事人提出陈述、申辩，听取当事人的陈述和申辩</w:t>
                  </w:r>
                </w:p>
              </w:txbxContent>
            </v:textbox>
          </v:rect>
        </w:pict>
      </w:r>
      <w:r>
        <w:rPr>
          <w:i/>
        </w:rPr>
        <w:pict>
          <v:shape id="_x0000_s2094" o:spid="_x0000_s2094" o:spt="32" type="#_x0000_t32" style="position:absolute;left:0pt;margin-left:366.75pt;margin-top:9.35pt;height:22.5pt;width:0.75pt;z-index:2517155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95" o:spid="_x0000_s2095" o:spt="32" type="#_x0000_t32" style="position:absolute;left:0pt;margin-left:201.95pt;margin-top:9.3pt;height:22.5pt;width:0pt;z-index:2517135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i/>
        </w:rPr>
        <w:pict>
          <v:shape id="_x0000_s2096" o:spid="_x0000_s2096" o:spt="32" type="#_x0000_t32" style="position:absolute;left:0pt;margin-left:201.95pt;margin-top:9.3pt;height:0.05pt;width:165.7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BB8"/>
    <w:rsid w:val="000445DC"/>
    <w:rsid w:val="00073EEE"/>
    <w:rsid w:val="000A47D1"/>
    <w:rsid w:val="00110CDF"/>
    <w:rsid w:val="00117BA2"/>
    <w:rsid w:val="00151470"/>
    <w:rsid w:val="001B4EB8"/>
    <w:rsid w:val="001C50A4"/>
    <w:rsid w:val="001C5F13"/>
    <w:rsid w:val="001D4EB6"/>
    <w:rsid w:val="001E05AD"/>
    <w:rsid w:val="001F107C"/>
    <w:rsid w:val="00226C34"/>
    <w:rsid w:val="002503DF"/>
    <w:rsid w:val="00284DE8"/>
    <w:rsid w:val="002C1792"/>
    <w:rsid w:val="002D217B"/>
    <w:rsid w:val="002F4E01"/>
    <w:rsid w:val="00304FDB"/>
    <w:rsid w:val="00323B43"/>
    <w:rsid w:val="003452BA"/>
    <w:rsid w:val="00373392"/>
    <w:rsid w:val="00382E41"/>
    <w:rsid w:val="00396519"/>
    <w:rsid w:val="003D37D8"/>
    <w:rsid w:val="003E0ED1"/>
    <w:rsid w:val="003F673A"/>
    <w:rsid w:val="00426133"/>
    <w:rsid w:val="004358AB"/>
    <w:rsid w:val="004D67CB"/>
    <w:rsid w:val="00532590"/>
    <w:rsid w:val="005413B5"/>
    <w:rsid w:val="005458D5"/>
    <w:rsid w:val="0055343C"/>
    <w:rsid w:val="005901F3"/>
    <w:rsid w:val="005A61C5"/>
    <w:rsid w:val="0061498D"/>
    <w:rsid w:val="00665FC1"/>
    <w:rsid w:val="00675183"/>
    <w:rsid w:val="006822C4"/>
    <w:rsid w:val="0069120C"/>
    <w:rsid w:val="006C1BDC"/>
    <w:rsid w:val="006C1FF6"/>
    <w:rsid w:val="006C2D99"/>
    <w:rsid w:val="006D39C2"/>
    <w:rsid w:val="006E7B84"/>
    <w:rsid w:val="006F0BBA"/>
    <w:rsid w:val="00725A7F"/>
    <w:rsid w:val="0075785A"/>
    <w:rsid w:val="00764B60"/>
    <w:rsid w:val="00774B4A"/>
    <w:rsid w:val="007774CC"/>
    <w:rsid w:val="0078101D"/>
    <w:rsid w:val="00794721"/>
    <w:rsid w:val="007B713D"/>
    <w:rsid w:val="007D364D"/>
    <w:rsid w:val="007D4445"/>
    <w:rsid w:val="007D5DEC"/>
    <w:rsid w:val="00816D6E"/>
    <w:rsid w:val="00847F6F"/>
    <w:rsid w:val="00851023"/>
    <w:rsid w:val="008974AB"/>
    <w:rsid w:val="008B7726"/>
    <w:rsid w:val="00914648"/>
    <w:rsid w:val="009307D4"/>
    <w:rsid w:val="00934610"/>
    <w:rsid w:val="00947187"/>
    <w:rsid w:val="00990C69"/>
    <w:rsid w:val="009E32B3"/>
    <w:rsid w:val="00A02847"/>
    <w:rsid w:val="00A25B52"/>
    <w:rsid w:val="00A373E4"/>
    <w:rsid w:val="00A91C09"/>
    <w:rsid w:val="00AB431E"/>
    <w:rsid w:val="00AD75E9"/>
    <w:rsid w:val="00AF570C"/>
    <w:rsid w:val="00B423E5"/>
    <w:rsid w:val="00B95A2E"/>
    <w:rsid w:val="00BC554C"/>
    <w:rsid w:val="00BD4C2E"/>
    <w:rsid w:val="00C2414D"/>
    <w:rsid w:val="00C40FFC"/>
    <w:rsid w:val="00C55A48"/>
    <w:rsid w:val="00C56EE2"/>
    <w:rsid w:val="00C71E28"/>
    <w:rsid w:val="00CB0D49"/>
    <w:rsid w:val="00CC0C4F"/>
    <w:rsid w:val="00D31D50"/>
    <w:rsid w:val="00D46DC0"/>
    <w:rsid w:val="00D852C6"/>
    <w:rsid w:val="00EC1681"/>
    <w:rsid w:val="00F21F45"/>
    <w:rsid w:val="00F61514"/>
    <w:rsid w:val="00FD3B8A"/>
    <w:rsid w:val="00FF27CA"/>
    <w:rsid w:val="00FF2B7E"/>
    <w:rsid w:val="2A66241E"/>
    <w:rsid w:val="2FF423ED"/>
    <w:rsid w:val="32CD522D"/>
    <w:rsid w:val="44952139"/>
    <w:rsid w:val="4D1D7458"/>
    <w:rsid w:val="6BFF4A5F"/>
    <w:rsid w:val="7E7D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6"/>
        <o:r id="V:Rule4" type="connector" idref="#_x0000_s2057"/>
        <o:r id="V:Rule5" type="connector" idref="#_x0000_s2058"/>
        <o:r id="V:Rule6" type="connector" idref="#_x0000_s2061"/>
        <o:r id="V:Rule7" type="connector" idref="#_x0000_s2062"/>
        <o:r id="V:Rule8" type="connector" idref="#_x0000_s2064"/>
        <o:r id="V:Rule9" type="connector" idref="#_x0000_s2067"/>
        <o:r id="V:Rule10" type="connector" idref="#_x0000_s2068"/>
        <o:r id="V:Rule11" type="connector" idref="#_x0000_s2069"/>
        <o:r id="V:Rule12" type="connector" idref="#_x0000_s2070"/>
        <o:r id="V:Rule13" type="connector" idref="#_x0000_s2071"/>
        <o:r id="V:Rule14" type="connector" idref="#_x0000_s2073"/>
        <o:r id="V:Rule15" type="connector" idref="#_x0000_s2079"/>
        <o:r id="V:Rule16" type="connector" idref="#_x0000_s2080"/>
        <o:r id="V:Rule17" type="connector" idref="#_x0000_s2081"/>
        <o:r id="V:Rule18" type="connector" idref="#_x0000_s2083"/>
        <o:r id="V:Rule19" type="connector" idref="#_x0000_s2084"/>
        <o:r id="V:Rule20" type="connector" idref="#_x0000_s2087"/>
        <o:r id="V:Rule21" type="connector" idref="#_x0000_s2088"/>
        <o:r id="V:Rule22" type="connector" idref="#_x0000_s2089"/>
        <o:r id="V:Rule23" type="connector" idref="#_x0000_s2090"/>
        <o:r id="V:Rule24" type="connector" idref="#_x0000_s2091"/>
        <o:r id="V:Rule25" type="connector" idref="#_x0000_s2094"/>
        <o:r id="V:Rule26" type="connector" idref="#_x0000_s2095"/>
        <o:r id="V:Rule27" type="connector" idref="#_x0000_s2096"/>
        <o:r id="V:Rule28" type="connector" idref="#_x0000_s2099"/>
        <o:r id="V:Rule29" type="connector" idref="#_x0000_s210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99"/>
    <customShpInfo spid="_x0000_s2101"/>
    <customShpInfo spid="_x0000_s2069"/>
    <customShpInfo spid="_x0000_s2070"/>
    <customShpInfo spid="_x0000_s2071"/>
    <customShpInfo spid="_x0000_s2100"/>
    <customShpInfo spid="_x0000_s2098"/>
    <customShpInfo spid="_x0000_s2072"/>
    <customShpInfo spid="_x0000_s2073"/>
    <customShpInfo spid="_x0000_s2074"/>
    <customShpInfo spid="_x0000_s2075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3</TotalTime>
  <ScaleCrop>false</ScaleCrop>
  <LinksUpToDate>false</LinksUpToDate>
  <CharactersWithSpaces>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cp:lastPrinted>2021-04-23T05:00:00Z</cp:lastPrinted>
  <dcterms:modified xsi:type="dcterms:W3CDTF">2022-04-21T02:59:07Z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